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1E15" w:rsidRPr="00A53058" w:rsidRDefault="008E1E15" w:rsidP="008E1E15">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5E40E6">
        <w:rPr>
          <w:rFonts w:ascii="Arial" w:hAnsi="Arial" w:cs="Arial"/>
          <w:b/>
          <w:bCs/>
          <w:szCs w:val="22"/>
        </w:rPr>
        <w:t>4846</w:t>
      </w:r>
    </w:p>
    <w:p w:rsidR="008E1E15" w:rsidRPr="00A53058" w:rsidRDefault="008E1E15" w:rsidP="008E1E15">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1638D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1638DC">
        <w:rPr>
          <w:lang w:val="en-US"/>
        </w:rPr>
        <w:t>1</w:t>
      </w:r>
      <w:r w:rsidR="00F05325">
        <w:rPr>
          <w:lang w:val="en-US"/>
        </w:rPr>
        <w:t>2</w:t>
      </w:r>
      <w:r w:rsidR="00980A03">
        <w:rPr>
          <w:lang w:val="en-US"/>
        </w:rPr>
        <w:t>b</w:t>
      </w:r>
      <w:r>
        <w:rPr>
          <w:lang w:val="en-US"/>
        </w:rPr>
        <w:t xml:space="preserve">, the following agreements on </w:t>
      </w:r>
      <w:r w:rsidR="00122C70">
        <w:rPr>
          <w:lang w:val="en-US"/>
        </w:rPr>
        <w:t xml:space="preserve">evaluation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E467A" w:rsidTr="00557396">
        <w:tc>
          <w:tcPr>
            <w:tcW w:w="9010" w:type="dxa"/>
          </w:tcPr>
          <w:p w:rsidR="00980A03" w:rsidRPr="00BA1DFF" w:rsidRDefault="00980A03" w:rsidP="00980A03">
            <w:pPr>
              <w:rPr>
                <w:sz w:val="20"/>
                <w:szCs w:val="20"/>
                <w:highlight w:val="green"/>
              </w:rPr>
            </w:pPr>
            <w:r w:rsidRPr="00BA1DFF">
              <w:rPr>
                <w:sz w:val="20"/>
                <w:szCs w:val="20"/>
                <w:highlight w:val="green"/>
              </w:rPr>
              <w:t>Agreement</w:t>
            </w:r>
          </w:p>
          <w:p w:rsidR="00980A03" w:rsidRPr="00BA1DFF" w:rsidRDefault="00980A03" w:rsidP="00980A03">
            <w:pPr>
              <w:rPr>
                <w:sz w:val="20"/>
                <w:szCs w:val="20"/>
              </w:rPr>
            </w:pPr>
            <w:r w:rsidRPr="00BA1DFF">
              <w:rPr>
                <w:sz w:val="20"/>
                <w:szCs w:val="20"/>
              </w:rPr>
              <w:t>For evaluation of both the direct AI/ML positioning and AI/ML assisted positioning, company optionally adopt delay profile (DP) as a type of information for model input.</w:t>
            </w:r>
          </w:p>
          <w:p w:rsidR="00980A03" w:rsidRPr="00BA1DFF" w:rsidRDefault="00980A03" w:rsidP="00980A03">
            <w:pPr>
              <w:widowControl w:val="0"/>
              <w:numPr>
                <w:ilvl w:val="0"/>
                <w:numId w:val="49"/>
              </w:numPr>
              <w:ind w:leftChars="105" w:left="612"/>
              <w:jc w:val="both"/>
              <w:rPr>
                <w:sz w:val="20"/>
                <w:szCs w:val="20"/>
              </w:rPr>
            </w:pPr>
            <w:r w:rsidRPr="00BA1DFF">
              <w:rPr>
                <w:sz w:val="20"/>
                <w:szCs w:val="20"/>
              </w:rPr>
              <w:t>DP is a degenerated version of PDP, where the path power is not provided.</w:t>
            </w:r>
          </w:p>
          <w:p w:rsidR="00980A03" w:rsidRPr="00BA1DFF" w:rsidRDefault="00980A03" w:rsidP="00980A03">
            <w:pPr>
              <w:widowControl w:val="0"/>
              <w:ind w:leftChars="105" w:left="252"/>
              <w:jc w:val="both"/>
              <w:rPr>
                <w:color w:val="FF0000"/>
                <w:sz w:val="20"/>
                <w:szCs w:val="20"/>
              </w:rPr>
            </w:pPr>
          </w:p>
          <w:p w:rsidR="00980A03" w:rsidRPr="00BA1DFF" w:rsidRDefault="00980A03" w:rsidP="00980A03">
            <w:pPr>
              <w:widowControl w:val="0"/>
              <w:ind w:leftChars="285" w:left="684"/>
              <w:jc w:val="both"/>
              <w:rPr>
                <w:color w:val="FF0000"/>
                <w:sz w:val="20"/>
                <w:szCs w:val="20"/>
              </w:rPr>
            </w:pPr>
          </w:p>
          <w:p w:rsidR="00980A03" w:rsidRPr="00BA1DFF" w:rsidRDefault="00980A03" w:rsidP="00980A03">
            <w:pPr>
              <w:rPr>
                <w:sz w:val="20"/>
                <w:szCs w:val="20"/>
              </w:rPr>
            </w:pPr>
          </w:p>
          <w:p w:rsidR="00980A03" w:rsidRPr="00BA1DFF" w:rsidRDefault="00980A03" w:rsidP="00980A03">
            <w:pPr>
              <w:rPr>
                <w:sz w:val="20"/>
                <w:szCs w:val="20"/>
                <w:highlight w:val="green"/>
              </w:rPr>
            </w:pPr>
            <w:r w:rsidRPr="00BA1DFF">
              <w:rPr>
                <w:sz w:val="20"/>
                <w:szCs w:val="20"/>
                <w:highlight w:val="green"/>
              </w:rPr>
              <w:t>Agreement</w:t>
            </w:r>
          </w:p>
          <w:p w:rsidR="00980A03" w:rsidRPr="00BA1DFF" w:rsidRDefault="00980A03" w:rsidP="00980A03">
            <w:pPr>
              <w:rPr>
                <w:sz w:val="20"/>
                <w:szCs w:val="20"/>
              </w:rPr>
            </w:pPr>
            <w:r w:rsidRPr="00BA1DFF">
              <w:rPr>
                <w:sz w:val="20"/>
                <w:szCs w:val="20"/>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rsidR="00980A03" w:rsidRPr="00BA1DFF" w:rsidRDefault="00980A03" w:rsidP="00980A03">
            <w:pPr>
              <w:pStyle w:val="ListParagraph"/>
              <w:widowControl w:val="0"/>
              <w:numPr>
                <w:ilvl w:val="0"/>
                <w:numId w:val="49"/>
              </w:numPr>
              <w:ind w:leftChars="105" w:left="612"/>
              <w:jc w:val="both"/>
              <w:rPr>
                <w:rFonts w:ascii="Times New Roman" w:hAnsi="Times New Roman"/>
                <w:szCs w:val="20"/>
                <w:lang w:val="en-US"/>
              </w:rPr>
            </w:pPr>
            <w:r w:rsidRPr="00BA1DFF">
              <w:rPr>
                <w:rFonts w:ascii="Times New Roman" w:hAnsi="Times New Roman"/>
                <w:b/>
                <w:bCs/>
                <w:szCs w:val="20"/>
                <w:lang w:val="en-US"/>
              </w:rPr>
              <w:t>Approach 1</w:t>
            </w:r>
            <w:r w:rsidRPr="00BA1DFF">
              <w:rPr>
                <w:rFonts w:ascii="Times New Roman" w:hAnsi="Times New Roman"/>
                <w:szCs w:val="20"/>
                <w:lang w:val="en-US"/>
              </w:rPr>
              <w:t xml:space="preserve">: Model input size stays constant as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=18. The number of TRPs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xml:space="preserve">) that provide measurements to model input varies. When </w:t>
            </w:r>
            <w:r w:rsidRPr="00BA1DFF">
              <w:rPr>
                <w:rFonts w:ascii="Times New Roman" w:hAnsi="Times New Roman"/>
                <w:szCs w:val="20"/>
              </w:rPr>
              <w:t>N’</w:t>
            </w:r>
            <w:r w:rsidRPr="00BA1DFF">
              <w:rPr>
                <w:rFonts w:ascii="Times New Roman" w:hAnsi="Times New Roman"/>
                <w:szCs w:val="20"/>
                <w:vertAlign w:val="subscript"/>
              </w:rPr>
              <w:t xml:space="preserve">TRP </w:t>
            </w:r>
            <w:r w:rsidRPr="00BA1DFF">
              <w:rPr>
                <w:rFonts w:ascii="Times New Roman" w:hAnsi="Times New Roman"/>
                <w:szCs w:val="20"/>
                <w:lang w:val="en-US"/>
              </w:rPr>
              <w:t xml:space="preserve">&lt;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the remaining (</w:t>
            </w:r>
            <w:r w:rsidRPr="00BA1DFF">
              <w:rPr>
                <w:rFonts w:ascii="Times New Roman" w:hAnsi="Times New Roman"/>
                <w:szCs w:val="20"/>
              </w:rPr>
              <w:t>N</w:t>
            </w:r>
            <w:r w:rsidRPr="00BA1DFF">
              <w:rPr>
                <w:rFonts w:ascii="Times New Roman" w:hAnsi="Times New Roman"/>
                <w:szCs w:val="20"/>
                <w:vertAlign w:val="subscript"/>
              </w:rPr>
              <w:t xml:space="preserve">TRP </w:t>
            </w:r>
            <w:r w:rsidRPr="00BA1DFF">
              <w:rPr>
                <w:rFonts w:ascii="Times New Roman" w:hAnsi="Times New Roman"/>
                <w:szCs w:val="20"/>
              </w:rPr>
              <w:sym w:font="Symbol" w:char="F02D"/>
            </w:r>
            <w:r w:rsidRPr="00BA1DFF">
              <w:rPr>
                <w:rFonts w:ascii="Times New Roman" w:hAnsi="Times New Roman"/>
                <w:szCs w:val="20"/>
              </w:rPr>
              <w:t xml:space="preserve"> N’</w:t>
            </w:r>
            <w:r w:rsidRPr="00BA1DFF">
              <w:rPr>
                <w:rFonts w:ascii="Times New Roman" w:hAnsi="Times New Roman"/>
                <w:szCs w:val="20"/>
                <w:vertAlign w:val="subscript"/>
              </w:rPr>
              <w:t>TRP</w:t>
            </w:r>
            <w:r w:rsidRPr="00BA1DFF">
              <w:rPr>
                <w:rFonts w:ascii="Times New Roman" w:hAnsi="Times New Roman"/>
                <w:szCs w:val="20"/>
                <w:lang w:val="en-US"/>
              </w:rPr>
              <w:t>) TRPs do not provide measurements to model input, i.e., measurement value is set to 0.</w:t>
            </w:r>
          </w:p>
          <w:p w:rsidR="00980A03" w:rsidRPr="00BA1DFF" w:rsidRDefault="00980A03" w:rsidP="00980A03">
            <w:pPr>
              <w:pStyle w:val="ListParagraph"/>
              <w:widowControl w:val="0"/>
              <w:numPr>
                <w:ilvl w:val="1"/>
                <w:numId w:val="49"/>
              </w:numPr>
              <w:ind w:leftChars="465" w:left="1476"/>
              <w:jc w:val="both"/>
              <w:rPr>
                <w:rFonts w:ascii="Times New Roman" w:hAnsi="Times New Roman"/>
                <w:szCs w:val="20"/>
                <w:lang w:val="en-US"/>
              </w:rPr>
            </w:pPr>
            <w:r w:rsidRPr="00BA1DFF">
              <w:rPr>
                <w:rFonts w:ascii="Times New Roman" w:hAnsi="Times New Roman"/>
                <w:b/>
                <w:bCs/>
                <w:szCs w:val="20"/>
                <w:lang w:val="en-US"/>
              </w:rPr>
              <w:t>Approach 1-A</w:t>
            </w:r>
            <w:r w:rsidRPr="00BA1DFF">
              <w:rPr>
                <w:rFonts w:ascii="Times New Roman" w:hAnsi="Times New Roman"/>
                <w:szCs w:val="20"/>
                <w:lang w:val="en-US"/>
              </w:rPr>
              <w:t>. The set of TRPs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that provide measurements is fixed.</w:t>
            </w:r>
          </w:p>
          <w:p w:rsidR="00980A03" w:rsidRPr="00BA1DFF" w:rsidRDefault="00980A03" w:rsidP="00980A03">
            <w:pPr>
              <w:pStyle w:val="ListParagraph"/>
              <w:widowControl w:val="0"/>
              <w:numPr>
                <w:ilvl w:val="1"/>
                <w:numId w:val="49"/>
              </w:numPr>
              <w:ind w:leftChars="465" w:left="1476"/>
              <w:jc w:val="both"/>
              <w:rPr>
                <w:rFonts w:ascii="Times New Roman" w:hAnsi="Times New Roman"/>
                <w:szCs w:val="20"/>
                <w:lang w:val="en-US"/>
              </w:rPr>
            </w:pPr>
            <w:r w:rsidRPr="00BA1DFF">
              <w:rPr>
                <w:rFonts w:ascii="Times New Roman" w:hAnsi="Times New Roman"/>
                <w:b/>
                <w:bCs/>
                <w:szCs w:val="20"/>
                <w:lang w:val="en-US"/>
              </w:rPr>
              <w:t>Approach 1-B</w:t>
            </w:r>
            <w:r w:rsidRPr="00BA1DFF">
              <w:rPr>
                <w:rFonts w:ascii="Times New Roman" w:hAnsi="Times New Roman"/>
                <w:szCs w:val="20"/>
                <w:lang w:val="en-US"/>
              </w:rPr>
              <w:t>. The set of TRPs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that provide measurements can change dynamically.</w:t>
            </w:r>
          </w:p>
          <w:p w:rsidR="00980A03" w:rsidRPr="00BA1DFF" w:rsidRDefault="00980A03" w:rsidP="00980A03">
            <w:pPr>
              <w:pStyle w:val="ListParagraph"/>
              <w:widowControl w:val="0"/>
              <w:numPr>
                <w:ilvl w:val="1"/>
                <w:numId w:val="49"/>
              </w:numPr>
              <w:ind w:leftChars="465" w:left="1476"/>
              <w:jc w:val="both"/>
              <w:rPr>
                <w:rFonts w:ascii="Times New Roman" w:hAnsi="Times New Roman"/>
                <w:szCs w:val="20"/>
                <w:lang w:val="en-US"/>
              </w:rPr>
            </w:pPr>
            <w:r w:rsidRPr="00BA1DFF">
              <w:rPr>
                <w:rFonts w:ascii="Times New Roman" w:hAnsi="Times New Roman"/>
                <w:szCs w:val="20"/>
                <w:lang w:val="en-US"/>
              </w:rPr>
              <w:t>Note: for Approach 1, one model is provided to cover the entire evaluation area.</w:t>
            </w:r>
          </w:p>
          <w:p w:rsidR="00980A03" w:rsidRPr="00BA1DFF" w:rsidRDefault="00980A03" w:rsidP="00980A03">
            <w:pPr>
              <w:pStyle w:val="ListParagraph"/>
              <w:widowControl w:val="0"/>
              <w:numPr>
                <w:ilvl w:val="0"/>
                <w:numId w:val="49"/>
              </w:numPr>
              <w:ind w:leftChars="105" w:left="612"/>
              <w:jc w:val="both"/>
              <w:rPr>
                <w:rFonts w:ascii="Times New Roman" w:hAnsi="Times New Roman"/>
                <w:szCs w:val="20"/>
                <w:lang w:val="en-US"/>
              </w:rPr>
            </w:pPr>
            <w:r w:rsidRPr="00BA1DFF">
              <w:rPr>
                <w:rFonts w:ascii="Times New Roman" w:hAnsi="Times New Roman"/>
                <w:b/>
                <w:bCs/>
                <w:szCs w:val="20"/>
                <w:lang w:val="en-US"/>
              </w:rPr>
              <w:t>Approach 2</w:t>
            </w:r>
            <w:r w:rsidRPr="00BA1DFF">
              <w:rPr>
                <w:rFonts w:ascii="Times New Roman" w:hAnsi="Times New Roman"/>
                <w:szCs w:val="20"/>
                <w:lang w:val="en-US"/>
              </w:rPr>
              <w:t>: The TRP dimension of model input is equal to the number of TRPs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that provide measurements as model input</w:t>
            </w:r>
            <w:r w:rsidRPr="00BA1DFF">
              <w:rPr>
                <w:rFonts w:ascii="Times New Roman" w:hAnsi="Times New Roman"/>
                <w:szCs w:val="20"/>
              </w:rPr>
              <w:t xml:space="preserve">. </w:t>
            </w:r>
            <w:r w:rsidRPr="00BA1DFF">
              <w:rPr>
                <w:rFonts w:ascii="Times New Roman" w:hAnsi="Times New Roman"/>
                <w:szCs w:val="20"/>
                <w:lang w:val="en-US"/>
              </w:rPr>
              <w:t xml:space="preserve">When </w:t>
            </w:r>
            <w:r w:rsidRPr="00BA1DFF">
              <w:rPr>
                <w:rFonts w:ascii="Times New Roman" w:hAnsi="Times New Roman"/>
                <w:szCs w:val="20"/>
              </w:rPr>
              <w:t>N’</w:t>
            </w:r>
            <w:r w:rsidRPr="00BA1DFF">
              <w:rPr>
                <w:rFonts w:ascii="Times New Roman" w:hAnsi="Times New Roman"/>
                <w:szCs w:val="20"/>
                <w:vertAlign w:val="subscript"/>
              </w:rPr>
              <w:t xml:space="preserve">TRP </w:t>
            </w:r>
            <w:r w:rsidRPr="00BA1DFF">
              <w:rPr>
                <w:rFonts w:ascii="Times New Roman" w:hAnsi="Times New Roman"/>
                <w:szCs w:val="20"/>
                <w:lang w:val="en-US"/>
              </w:rPr>
              <w:t xml:space="preserve">&lt;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the remaining (</w:t>
            </w:r>
            <w:r w:rsidRPr="00BA1DFF">
              <w:rPr>
                <w:rFonts w:ascii="Times New Roman" w:hAnsi="Times New Roman"/>
                <w:szCs w:val="20"/>
              </w:rPr>
              <w:t>N</w:t>
            </w:r>
            <w:r w:rsidRPr="00BA1DFF">
              <w:rPr>
                <w:rFonts w:ascii="Times New Roman" w:hAnsi="Times New Roman"/>
                <w:szCs w:val="20"/>
                <w:vertAlign w:val="subscript"/>
              </w:rPr>
              <w:t xml:space="preserve">TRP </w:t>
            </w:r>
            <w:r w:rsidRPr="00BA1DFF">
              <w:rPr>
                <w:rFonts w:ascii="Times New Roman" w:hAnsi="Times New Roman"/>
                <w:szCs w:val="20"/>
              </w:rPr>
              <w:sym w:font="Symbol" w:char="F02D"/>
            </w:r>
            <w:r w:rsidRPr="00BA1DFF">
              <w:rPr>
                <w:rFonts w:ascii="Times New Roman" w:hAnsi="Times New Roman"/>
                <w:szCs w:val="20"/>
              </w:rPr>
              <w:t xml:space="preserve"> N’</w:t>
            </w:r>
            <w:r w:rsidRPr="00BA1DFF">
              <w:rPr>
                <w:rFonts w:ascii="Times New Roman" w:hAnsi="Times New Roman"/>
                <w:szCs w:val="20"/>
                <w:vertAlign w:val="subscript"/>
              </w:rPr>
              <w:t>TRP</w:t>
            </w:r>
            <w:r w:rsidRPr="00BA1DFF">
              <w:rPr>
                <w:rFonts w:ascii="Times New Roman" w:hAnsi="Times New Roman"/>
                <w:szCs w:val="20"/>
                <w:lang w:val="en-US"/>
              </w:rPr>
              <w:t>) TRPs are ignored by the given model.</w:t>
            </w:r>
            <w:r w:rsidRPr="00BA1DFF">
              <w:rPr>
                <w:rFonts w:ascii="Times New Roman" w:hAnsi="Times New Roman"/>
                <w:szCs w:val="20"/>
              </w:rPr>
              <w:t xml:space="preserve"> For a given AI/ML model, t</w:t>
            </w:r>
            <w:r w:rsidRPr="00BA1DFF">
              <w:rPr>
                <w:rFonts w:ascii="Times New Roman" w:hAnsi="Times New Roman"/>
                <w:szCs w:val="20"/>
                <w:lang w:val="en-US"/>
              </w:rPr>
              <w:t>he set of TRPs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xml:space="preserve">) that provide measurements is fixed. </w:t>
            </w:r>
          </w:p>
          <w:p w:rsidR="00980A03" w:rsidRPr="00BA1DFF" w:rsidRDefault="00980A03" w:rsidP="00980A03">
            <w:pPr>
              <w:pStyle w:val="ListParagraph"/>
              <w:widowControl w:val="0"/>
              <w:numPr>
                <w:ilvl w:val="1"/>
                <w:numId w:val="49"/>
              </w:numPr>
              <w:ind w:leftChars="465" w:left="1476"/>
              <w:jc w:val="both"/>
              <w:rPr>
                <w:rFonts w:ascii="Times New Roman" w:hAnsi="Times New Roman"/>
                <w:szCs w:val="20"/>
                <w:lang w:val="en-US"/>
              </w:rPr>
            </w:pPr>
            <w:r w:rsidRPr="00BA1DFF">
              <w:rPr>
                <w:rFonts w:ascii="Times New Roman" w:hAnsi="Times New Roman"/>
                <w:szCs w:val="20"/>
                <w:lang w:val="en-US"/>
              </w:rPr>
              <w:t xml:space="preserve">For Approach 2: one model can be provided to cover the entire evaluation area, which is equivalent to deploying </w:t>
            </w:r>
            <w:r w:rsidRPr="00BA1DFF">
              <w:rPr>
                <w:rFonts w:ascii="Times New Roman" w:hAnsi="Times New Roman"/>
                <w:szCs w:val="20"/>
              </w:rPr>
              <w:t>N’</w:t>
            </w:r>
            <w:r w:rsidRPr="00BA1DFF">
              <w:rPr>
                <w:rFonts w:ascii="Times New Roman" w:hAnsi="Times New Roman"/>
                <w:szCs w:val="20"/>
                <w:vertAlign w:val="subscript"/>
              </w:rPr>
              <w:t>TRP</w:t>
            </w:r>
            <w:r w:rsidRPr="00BA1DFF">
              <w:rPr>
                <w:rFonts w:ascii="Times New Roman" w:hAnsi="Times New Roman"/>
                <w:szCs w:val="20"/>
                <w:lang w:val="en-US"/>
              </w:rPr>
              <w:t xml:space="preserve"> TRPs in the evaluation area for positioning if ignoring the potential inference from the remaining (</w:t>
            </w:r>
            <w:r w:rsidRPr="00BA1DFF">
              <w:rPr>
                <w:rFonts w:ascii="Times New Roman" w:hAnsi="Times New Roman"/>
                <w:szCs w:val="20"/>
              </w:rPr>
              <w:t>18</w:t>
            </w:r>
            <w:r w:rsidRPr="00BA1DFF">
              <w:rPr>
                <w:rFonts w:ascii="Times New Roman" w:hAnsi="Times New Roman"/>
                <w:szCs w:val="20"/>
                <w:vertAlign w:val="subscript"/>
              </w:rPr>
              <w:t xml:space="preserve"> </w:t>
            </w:r>
            <w:r w:rsidRPr="00BA1DFF">
              <w:rPr>
                <w:rFonts w:ascii="Times New Roman" w:hAnsi="Times New Roman"/>
                <w:szCs w:val="20"/>
              </w:rPr>
              <w:sym w:font="Symbol" w:char="F02D"/>
            </w:r>
            <w:r w:rsidRPr="00BA1DFF">
              <w:rPr>
                <w:rFonts w:ascii="Times New Roman" w:hAnsi="Times New Roman"/>
                <w:szCs w:val="20"/>
              </w:rPr>
              <w:t xml:space="preserve"> N’</w:t>
            </w:r>
            <w:r w:rsidRPr="00BA1DFF">
              <w:rPr>
                <w:rFonts w:ascii="Times New Roman" w:hAnsi="Times New Roman"/>
                <w:szCs w:val="20"/>
                <w:vertAlign w:val="subscript"/>
              </w:rPr>
              <w:t>TRP</w:t>
            </w:r>
            <w:r w:rsidRPr="00BA1DFF">
              <w:rPr>
                <w:rFonts w:ascii="Times New Roman" w:hAnsi="Times New Roman"/>
                <w:szCs w:val="20"/>
                <w:lang w:val="en-US"/>
              </w:rPr>
              <w:t>) TRPs.</w:t>
            </w:r>
          </w:p>
          <w:p w:rsidR="00980A03" w:rsidRPr="00BA1DFF" w:rsidRDefault="00980A03" w:rsidP="00980A03">
            <w:pPr>
              <w:pStyle w:val="ListParagraph"/>
              <w:widowControl w:val="0"/>
              <w:numPr>
                <w:ilvl w:val="1"/>
                <w:numId w:val="49"/>
              </w:numPr>
              <w:ind w:leftChars="465" w:left="1476"/>
              <w:jc w:val="both"/>
              <w:rPr>
                <w:rFonts w:ascii="Times New Roman" w:hAnsi="Times New Roman"/>
                <w:szCs w:val="20"/>
                <w:lang w:val="en-US"/>
              </w:rPr>
            </w:pPr>
            <w:r w:rsidRPr="00BA1DFF">
              <w:rPr>
                <w:rFonts w:ascii="Times New Roman" w:hAnsi="Times New Roman"/>
                <w:szCs w:val="20"/>
              </w:rPr>
              <w:t>For Approach 2, if N</w:t>
            </w:r>
            <w:r w:rsidRPr="00BA1DFF">
              <w:rPr>
                <w:rFonts w:ascii="Times New Roman" w:hAnsi="Times New Roman"/>
                <w:szCs w:val="20"/>
                <w:vertAlign w:val="subscript"/>
              </w:rPr>
              <w:t>model</w:t>
            </w:r>
            <w:r w:rsidRPr="00BA1DFF">
              <w:rPr>
                <w:rFonts w:ascii="Times New Roman" w:hAnsi="Times New Roman"/>
                <w:szCs w:val="20"/>
              </w:rPr>
              <w:t xml:space="preserve"> (N</w:t>
            </w:r>
            <w:r w:rsidRPr="00BA1DFF">
              <w:rPr>
                <w:rFonts w:ascii="Times New Roman" w:hAnsi="Times New Roman"/>
                <w:szCs w:val="20"/>
                <w:vertAlign w:val="subscript"/>
              </w:rPr>
              <w:t>model</w:t>
            </w:r>
            <w:r w:rsidRPr="00BA1DFF">
              <w:rPr>
                <w:rFonts w:ascii="Times New Roman" w:hAnsi="Times New Roman"/>
                <w:szCs w:val="20"/>
              </w:rPr>
              <w:t xml:space="preserve"> &gt;1) models are provided to cover the </w:t>
            </w:r>
            <w:r w:rsidRPr="00BA1DFF">
              <w:rPr>
                <w:rFonts w:ascii="Times New Roman" w:hAnsi="Times New Roman"/>
                <w:szCs w:val="20"/>
                <w:lang w:val="en-US"/>
              </w:rPr>
              <w:t>entire</w:t>
            </w:r>
            <w:r w:rsidRPr="00BA1DFF">
              <w:rPr>
                <w:rFonts w:ascii="Times New Roman" w:hAnsi="Times New Roman"/>
                <w:szCs w:val="20"/>
              </w:rPr>
              <w:t xml:space="preserve"> evaluation area, the total complexity (</w:t>
            </w:r>
            <w:r w:rsidRPr="00BA1DFF">
              <w:rPr>
                <w:rFonts w:ascii="Times New Roman" w:hAnsi="Times New Roman"/>
                <w:szCs w:val="20"/>
                <w:lang w:val="en-US"/>
              </w:rPr>
              <w:t xml:space="preserve">model complexity is the summation of the </w:t>
            </w:r>
            <w:r w:rsidRPr="00BA1DFF">
              <w:rPr>
                <w:rFonts w:ascii="Times New Roman" w:hAnsi="Times New Roman"/>
                <w:szCs w:val="20"/>
              </w:rPr>
              <w:t>N</w:t>
            </w:r>
            <w:r w:rsidRPr="00BA1DFF">
              <w:rPr>
                <w:rFonts w:ascii="Times New Roman" w:hAnsi="Times New Roman"/>
                <w:szCs w:val="20"/>
                <w:vertAlign w:val="subscript"/>
              </w:rPr>
              <w:t>model</w:t>
            </w:r>
            <w:r w:rsidRPr="00BA1DFF">
              <w:rPr>
                <w:rFonts w:ascii="Times New Roman" w:hAnsi="Times New Roman"/>
                <w:szCs w:val="20"/>
              </w:rPr>
              <w:t xml:space="preserve"> models.</w:t>
            </w:r>
          </w:p>
          <w:p w:rsidR="00980A03" w:rsidRPr="00BA1DFF" w:rsidRDefault="00980A03" w:rsidP="00980A03">
            <w:pPr>
              <w:rPr>
                <w:sz w:val="20"/>
                <w:szCs w:val="20"/>
              </w:rPr>
            </w:pPr>
          </w:p>
          <w:p w:rsidR="00980A03" w:rsidRPr="00BA1DFF" w:rsidRDefault="00980A03" w:rsidP="00980A03">
            <w:pPr>
              <w:rPr>
                <w:sz w:val="20"/>
                <w:szCs w:val="20"/>
                <w:highlight w:val="green"/>
              </w:rPr>
            </w:pPr>
            <w:r w:rsidRPr="00BA1DFF">
              <w:rPr>
                <w:sz w:val="20"/>
                <w:szCs w:val="20"/>
                <w:highlight w:val="green"/>
              </w:rPr>
              <w:t>Agreement</w:t>
            </w:r>
          </w:p>
          <w:p w:rsidR="00980A03" w:rsidRPr="00BA1DFF" w:rsidRDefault="00980A03" w:rsidP="00980A03">
            <w:pPr>
              <w:rPr>
                <w:sz w:val="20"/>
                <w:szCs w:val="20"/>
              </w:rPr>
            </w:pPr>
            <w:r w:rsidRPr="00BA1DFF">
              <w:rPr>
                <w:sz w:val="20"/>
                <w:szCs w:val="20"/>
              </w:rPr>
              <w:t>In the evaluation of AI/ML based positioning, if N’</w:t>
            </w:r>
            <w:r w:rsidRPr="00BA1DFF">
              <w:rPr>
                <w:sz w:val="20"/>
                <w:szCs w:val="20"/>
                <w:vertAlign w:val="subscript"/>
              </w:rPr>
              <w:t>TRP</w:t>
            </w:r>
            <w:r w:rsidRPr="00BA1DFF">
              <w:rPr>
                <w:sz w:val="20"/>
                <w:szCs w:val="20"/>
              </w:rPr>
              <w:t>&lt;18, the set of N’</w:t>
            </w:r>
            <w:r w:rsidRPr="00BA1DFF">
              <w:rPr>
                <w:sz w:val="20"/>
                <w:szCs w:val="20"/>
                <w:vertAlign w:val="subscript"/>
              </w:rPr>
              <w:t>TRP</w:t>
            </w:r>
            <w:r w:rsidRPr="00BA1DFF">
              <w:rPr>
                <w:sz w:val="20"/>
                <w:szCs w:val="20"/>
              </w:rPr>
              <w:t xml:space="preserve"> TRPs that provide measurements to model input of an AI/ML model are reported using the TRP indices shown below.</w:t>
            </w:r>
          </w:p>
          <w:p w:rsidR="00980A03" w:rsidRPr="00BA1DFF" w:rsidRDefault="00980A03" w:rsidP="00980A03">
            <w:pPr>
              <w:jc w:val="center"/>
              <w:rPr>
                <w:sz w:val="20"/>
                <w:szCs w:val="20"/>
              </w:rPr>
            </w:pPr>
            <w:r w:rsidRPr="00BA1DFF">
              <w:rPr>
                <w:noProof/>
                <w:sz w:val="20"/>
                <w:szCs w:val="20"/>
              </w:rPr>
              <w:lastRenderedPageBreak/>
              <w:drawing>
                <wp:inline distT="0" distB="0" distL="0" distR="0" wp14:anchorId="26A4A862" wp14:editId="15DC8CDF">
                  <wp:extent cx="4102100" cy="2171700"/>
                  <wp:effectExtent l="0" t="0" r="0" b="0"/>
                  <wp:docPr id="562"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rsidR="00980A03" w:rsidRPr="00BA1DFF" w:rsidRDefault="00980A03" w:rsidP="00980A03">
            <w:pPr>
              <w:rPr>
                <w:sz w:val="20"/>
                <w:szCs w:val="20"/>
              </w:rPr>
            </w:pPr>
          </w:p>
          <w:p w:rsidR="00980A03" w:rsidRPr="00BA1DFF" w:rsidRDefault="00980A03" w:rsidP="00980A03">
            <w:pPr>
              <w:rPr>
                <w:rFonts w:eastAsia="DengXian"/>
                <w:sz w:val="20"/>
                <w:szCs w:val="20"/>
                <w:highlight w:val="green"/>
              </w:rPr>
            </w:pPr>
            <w:r w:rsidRPr="00BA1DFF">
              <w:rPr>
                <w:rFonts w:eastAsia="DengXian"/>
                <w:sz w:val="20"/>
                <w:szCs w:val="20"/>
                <w:highlight w:val="green"/>
              </w:rPr>
              <w:t>Agreement</w:t>
            </w:r>
          </w:p>
          <w:p w:rsidR="00980A03" w:rsidRPr="00BA1DFF" w:rsidRDefault="00980A03" w:rsidP="00980A03">
            <w:pPr>
              <w:rPr>
                <w:color w:val="000000"/>
                <w:sz w:val="20"/>
                <w:szCs w:val="20"/>
              </w:rPr>
            </w:pPr>
            <w:r w:rsidRPr="00BA1DFF">
              <w:rPr>
                <w:color w:val="000000"/>
                <w:sz w:val="20"/>
                <w:szCs w:val="20"/>
              </w:rPr>
              <w:t>For AI/ML assisted positioning with TOA as model output, study the impact of labelling error to TOA accuracy and/or positioning accuracy.</w:t>
            </w:r>
          </w:p>
          <w:p w:rsidR="00980A03" w:rsidRPr="00BA1DFF" w:rsidRDefault="00980A03" w:rsidP="00980A03">
            <w:pPr>
              <w:pStyle w:val="ListParagraph"/>
              <w:widowControl w:val="0"/>
              <w:numPr>
                <w:ilvl w:val="0"/>
                <w:numId w:val="52"/>
              </w:numPr>
              <w:ind w:leftChars="105" w:left="612"/>
              <w:jc w:val="both"/>
              <w:rPr>
                <w:rFonts w:ascii="Times New Roman" w:hAnsi="Times New Roman"/>
                <w:color w:val="000000"/>
                <w:szCs w:val="20"/>
              </w:rPr>
            </w:pPr>
            <w:r w:rsidRPr="00BA1DFF">
              <w:rPr>
                <w:rFonts w:ascii="Times New Roman" w:hAnsi="Times New Roman"/>
                <w:color w:val="000000"/>
                <w:szCs w:val="2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rsidR="00980A03" w:rsidRPr="00BA1DFF" w:rsidRDefault="00980A03" w:rsidP="00980A03">
            <w:pPr>
              <w:widowControl w:val="0"/>
              <w:numPr>
                <w:ilvl w:val="0"/>
                <w:numId w:val="53"/>
              </w:numPr>
              <w:ind w:leftChars="493" w:left="1603"/>
              <w:jc w:val="both"/>
              <w:rPr>
                <w:color w:val="000000"/>
                <w:sz w:val="20"/>
                <w:szCs w:val="20"/>
              </w:rPr>
            </w:pPr>
            <w:r w:rsidRPr="00BA1DFF">
              <w:rPr>
                <w:color w:val="000000"/>
                <w:sz w:val="20"/>
                <w:szCs w:val="20"/>
              </w:rPr>
              <w:t>Value L is up to sources.</w:t>
            </w:r>
          </w:p>
          <w:p w:rsidR="00980A03" w:rsidRPr="00BA1DFF" w:rsidRDefault="00980A03" w:rsidP="00980A03">
            <w:pPr>
              <w:pStyle w:val="ListParagraph"/>
              <w:widowControl w:val="0"/>
              <w:numPr>
                <w:ilvl w:val="0"/>
                <w:numId w:val="52"/>
              </w:numPr>
              <w:ind w:leftChars="105" w:left="612"/>
              <w:jc w:val="both"/>
              <w:rPr>
                <w:rFonts w:ascii="Times New Roman" w:hAnsi="Times New Roman"/>
                <w:color w:val="000000"/>
                <w:szCs w:val="20"/>
              </w:rPr>
            </w:pPr>
            <w:r w:rsidRPr="00BA1DFF">
              <w:rPr>
                <w:rFonts w:ascii="Times New Roman" w:hAnsi="Times New Roman"/>
                <w:color w:val="000000"/>
                <w:szCs w:val="20"/>
              </w:rPr>
              <w:t>Other models of labelling error are not precluded</w:t>
            </w:r>
          </w:p>
          <w:p w:rsidR="00980A03" w:rsidRPr="00BA1DFF" w:rsidRDefault="00980A03" w:rsidP="00980A03">
            <w:pPr>
              <w:pStyle w:val="ListParagraph"/>
              <w:widowControl w:val="0"/>
              <w:numPr>
                <w:ilvl w:val="0"/>
                <w:numId w:val="52"/>
              </w:numPr>
              <w:ind w:leftChars="105" w:left="612"/>
              <w:jc w:val="both"/>
              <w:rPr>
                <w:rFonts w:ascii="Times New Roman" w:hAnsi="Times New Roman"/>
                <w:color w:val="000000"/>
                <w:szCs w:val="20"/>
              </w:rPr>
            </w:pPr>
            <w:r w:rsidRPr="00BA1DFF">
              <w:rPr>
                <w:rFonts w:ascii="Times New Roman" w:hAnsi="Times New Roman"/>
                <w:color w:val="000000"/>
                <w:szCs w:val="20"/>
              </w:rPr>
              <w:t>Other timing information, e.g., RSTD, as model output is not precluded.</w:t>
            </w:r>
          </w:p>
          <w:p w:rsidR="00980A03" w:rsidRPr="00BA1DFF" w:rsidRDefault="00980A03" w:rsidP="00980A03">
            <w:pPr>
              <w:rPr>
                <w:rFonts w:eastAsia="DengXian"/>
                <w:sz w:val="20"/>
                <w:szCs w:val="20"/>
              </w:rPr>
            </w:pPr>
          </w:p>
          <w:p w:rsidR="00980A03" w:rsidRPr="00BA1DFF" w:rsidRDefault="00980A03" w:rsidP="00980A03">
            <w:pPr>
              <w:rPr>
                <w:rFonts w:eastAsia="DengXian"/>
                <w:sz w:val="20"/>
                <w:szCs w:val="20"/>
                <w:highlight w:val="green"/>
              </w:rPr>
            </w:pPr>
            <w:r w:rsidRPr="00BA1DFF">
              <w:rPr>
                <w:rFonts w:eastAsia="DengXian"/>
                <w:sz w:val="20"/>
                <w:szCs w:val="20"/>
                <w:highlight w:val="green"/>
              </w:rPr>
              <w:t>Agreement</w:t>
            </w:r>
          </w:p>
          <w:p w:rsidR="00980A03" w:rsidRPr="00BA1DFF" w:rsidRDefault="00980A03" w:rsidP="00980A03">
            <w:pPr>
              <w:rPr>
                <w:color w:val="000000"/>
                <w:sz w:val="20"/>
                <w:szCs w:val="20"/>
              </w:rPr>
            </w:pPr>
            <w:r w:rsidRPr="00BA1DFF">
              <w:rPr>
                <w:color w:val="000000"/>
                <w:sz w:val="20"/>
                <w:szCs w:val="20"/>
              </w:rPr>
              <w:t xml:space="preserve">For AI/ML assisted positioning with LOS/NLOS indicator as model output, study the impact of labelling error to LOS/NLOS </w:t>
            </w:r>
            <w:bookmarkStart w:id="0" w:name="_Hlk132894047"/>
            <w:r w:rsidRPr="00BA1DFF">
              <w:rPr>
                <w:color w:val="000000"/>
                <w:sz w:val="20"/>
                <w:szCs w:val="20"/>
              </w:rPr>
              <w:t xml:space="preserve">indicator </w:t>
            </w:r>
            <w:bookmarkEnd w:id="0"/>
            <w:r w:rsidRPr="00BA1DFF">
              <w:rPr>
                <w:color w:val="000000"/>
                <w:sz w:val="20"/>
                <w:szCs w:val="20"/>
              </w:rPr>
              <w:t>accuracy and/or positioning accuracy.</w:t>
            </w:r>
          </w:p>
          <w:p w:rsidR="00980A03" w:rsidRPr="00BA1DFF" w:rsidRDefault="00980A03" w:rsidP="00980A03">
            <w:pPr>
              <w:pStyle w:val="ListParagraph"/>
              <w:widowControl w:val="0"/>
              <w:numPr>
                <w:ilvl w:val="0"/>
                <w:numId w:val="52"/>
              </w:numPr>
              <w:ind w:leftChars="105" w:left="612"/>
              <w:jc w:val="both"/>
              <w:rPr>
                <w:rFonts w:ascii="Times New Roman" w:hAnsi="Times New Roman"/>
                <w:color w:val="000000"/>
                <w:szCs w:val="20"/>
                <w:lang w:val="en-US"/>
              </w:rPr>
            </w:pPr>
            <w:r w:rsidRPr="00BA1DFF">
              <w:rPr>
                <w:rFonts w:ascii="Times New Roman" w:hAnsi="Times New Roman"/>
                <w:color w:val="000000"/>
                <w:szCs w:val="20"/>
              </w:rPr>
              <w:t>The ground truth label error of LOS/NLOS indicator can be modelled as m% LOS label error and n% NLOS label error.</w:t>
            </w:r>
          </w:p>
          <w:p w:rsidR="00980A03" w:rsidRPr="00BA1DFF" w:rsidRDefault="00980A03" w:rsidP="00980A03">
            <w:pPr>
              <w:widowControl w:val="0"/>
              <w:numPr>
                <w:ilvl w:val="0"/>
                <w:numId w:val="53"/>
              </w:numPr>
              <w:ind w:leftChars="493" w:left="1603"/>
              <w:jc w:val="both"/>
              <w:rPr>
                <w:color w:val="000000"/>
                <w:sz w:val="20"/>
                <w:szCs w:val="20"/>
              </w:rPr>
            </w:pPr>
            <w:r w:rsidRPr="00BA1DFF">
              <w:rPr>
                <w:color w:val="000000"/>
                <w:sz w:val="20"/>
                <w:szCs w:val="20"/>
              </w:rPr>
              <w:t>Value m and n are up to sources.</w:t>
            </w:r>
          </w:p>
          <w:p w:rsidR="00980A03" w:rsidRPr="00BA1DFF" w:rsidRDefault="00980A03" w:rsidP="00980A03">
            <w:pPr>
              <w:pStyle w:val="ListParagraph"/>
              <w:widowControl w:val="0"/>
              <w:numPr>
                <w:ilvl w:val="0"/>
                <w:numId w:val="52"/>
              </w:numPr>
              <w:ind w:leftChars="105" w:left="612"/>
              <w:jc w:val="both"/>
              <w:rPr>
                <w:rFonts w:ascii="Times New Roman" w:hAnsi="Times New Roman"/>
                <w:color w:val="000000"/>
                <w:szCs w:val="20"/>
              </w:rPr>
            </w:pPr>
            <w:r w:rsidRPr="00BA1DFF">
              <w:rPr>
                <w:rFonts w:ascii="Times New Roman" w:hAnsi="Times New Roman"/>
                <w:color w:val="000000"/>
                <w:szCs w:val="20"/>
              </w:rPr>
              <w:t>Companies consider at least hard-value LOS</w:t>
            </w:r>
            <w:r w:rsidRPr="00BA1DFF">
              <w:rPr>
                <w:rFonts w:ascii="Times New Roman" w:hAnsi="Times New Roman"/>
                <w:color w:val="000000"/>
                <w:szCs w:val="20"/>
                <w:lang w:val="en-US"/>
              </w:rPr>
              <w:t>/NLOS indicator as model output.</w:t>
            </w: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rFonts w:eastAsia="DengXian"/>
                <w:sz w:val="20"/>
                <w:szCs w:val="20"/>
                <w:highlight w:val="green"/>
              </w:rPr>
            </w:pPr>
            <w:r w:rsidRPr="00BA1DFF">
              <w:rPr>
                <w:rFonts w:eastAsia="DengXian"/>
                <w:sz w:val="20"/>
                <w:szCs w:val="20"/>
                <w:highlight w:val="green"/>
              </w:rPr>
              <w:t>Agreement</w:t>
            </w:r>
          </w:p>
          <w:p w:rsidR="00980A03" w:rsidRPr="00BA1DFF" w:rsidRDefault="00980A03" w:rsidP="00980A03">
            <w:pPr>
              <w:rPr>
                <w:sz w:val="20"/>
                <w:szCs w:val="20"/>
              </w:rPr>
            </w:pPr>
            <w:r w:rsidRPr="00BA1DFF">
              <w:rPr>
                <w:sz w:val="20"/>
                <w:szCs w:val="20"/>
              </w:rPr>
              <w:t xml:space="preserve">For the evaluation of AI/ML based positioning method, the measurement size and signalling overhead for the model input is reported. </w:t>
            </w:r>
          </w:p>
          <w:p w:rsidR="00980A03" w:rsidRPr="00BA1DFF" w:rsidRDefault="00980A03" w:rsidP="00980A03">
            <w:pPr>
              <w:rPr>
                <w:sz w:val="20"/>
                <w:szCs w:val="20"/>
              </w:rPr>
            </w:pPr>
          </w:p>
          <w:p w:rsidR="00980A03" w:rsidRPr="00BA1DFF" w:rsidRDefault="00980A03" w:rsidP="00980A03">
            <w:pPr>
              <w:rPr>
                <w:rFonts w:eastAsia="DengXian"/>
                <w:sz w:val="20"/>
                <w:szCs w:val="20"/>
              </w:rPr>
            </w:pPr>
            <w:r w:rsidRPr="00BA1DFF">
              <w:rPr>
                <w:rFonts w:eastAsia="DengXian"/>
                <w:sz w:val="20"/>
                <w:szCs w:val="20"/>
              </w:rPr>
              <w:t>Observation</w:t>
            </w:r>
          </w:p>
          <w:p w:rsidR="00980A03" w:rsidRPr="00BA1DFF" w:rsidRDefault="00980A03" w:rsidP="00980A03">
            <w:pPr>
              <w:rPr>
                <w:sz w:val="20"/>
                <w:szCs w:val="20"/>
              </w:rPr>
            </w:pPr>
            <w:r w:rsidRPr="00BA1DFF">
              <w:rPr>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rsidR="00980A03" w:rsidRPr="00BA1DFF" w:rsidRDefault="00980A03" w:rsidP="00980A03">
            <w:pPr>
              <w:pStyle w:val="ListParagraph"/>
              <w:widowControl w:val="0"/>
              <w:ind w:left="1680"/>
              <w:jc w:val="both"/>
              <w:rPr>
                <w:rFonts w:ascii="Times New Roman" w:hAnsi="Times New Roman"/>
                <w:szCs w:val="20"/>
                <w:lang w:val="en-US"/>
              </w:rPr>
            </w:pPr>
            <w:r w:rsidRPr="00BA1DFF">
              <w:rPr>
                <w:rFonts w:ascii="Times New Roman" w:hAnsi="Times New Roman"/>
                <w:szCs w:val="20"/>
                <w:lang w:val="en-US"/>
              </w:rPr>
              <w:t>Note: For easy reference, sources include CMCC (R1-2303228), InterDigital (R1-2303450), Ericsson (R1-2302335), Huawei/HiSilicon (R1-2302362), CATT</w:t>
            </w:r>
            <w:r w:rsidRPr="00BA1DFF">
              <w:rPr>
                <w:rFonts w:ascii="Times New Roman" w:eastAsia="DengXian" w:hAnsi="Times New Roman"/>
                <w:szCs w:val="20"/>
                <w:lang w:val="en-US"/>
              </w:rPr>
              <w:t xml:space="preserve"> </w:t>
            </w:r>
            <w:r w:rsidRPr="00BA1DFF">
              <w:rPr>
                <w:rFonts w:ascii="Times New Roman" w:hAnsi="Times New Roman"/>
                <w:szCs w:val="20"/>
                <w:lang w:val="en-US"/>
              </w:rPr>
              <w:t>(R1-230</w:t>
            </w:r>
            <w:r w:rsidRPr="00BA1DFF">
              <w:rPr>
                <w:rFonts w:ascii="Times New Roman" w:eastAsia="DengXian" w:hAnsi="Times New Roman"/>
                <w:szCs w:val="20"/>
                <w:lang w:val="en-US"/>
              </w:rPr>
              <w:t>2</w:t>
            </w:r>
            <w:r w:rsidRPr="00BA1DFF">
              <w:rPr>
                <w:rFonts w:ascii="Times New Roman" w:hAnsi="Times New Roman"/>
                <w:szCs w:val="20"/>
                <w:lang w:val="en-US"/>
              </w:rPr>
              <w:t>699), Nokia (R1-2302632).</w:t>
            </w:r>
          </w:p>
          <w:p w:rsidR="00980A03" w:rsidRPr="00BA1DFF" w:rsidRDefault="00980A03" w:rsidP="00980A03">
            <w:pPr>
              <w:rPr>
                <w:sz w:val="20"/>
                <w:szCs w:val="20"/>
              </w:rPr>
            </w:pPr>
          </w:p>
          <w:p w:rsidR="00980A03" w:rsidRPr="00BA1DFF" w:rsidRDefault="00980A03" w:rsidP="00980A03">
            <w:pPr>
              <w:rPr>
                <w:rFonts w:eastAsia="DengXian"/>
                <w:sz w:val="20"/>
                <w:szCs w:val="20"/>
              </w:rPr>
            </w:pPr>
            <w:r w:rsidRPr="00BA1DFF">
              <w:rPr>
                <w:rFonts w:eastAsia="DengXian"/>
                <w:sz w:val="20"/>
                <w:szCs w:val="20"/>
              </w:rPr>
              <w:t>Observation</w:t>
            </w:r>
          </w:p>
          <w:p w:rsidR="00980A03" w:rsidRPr="00BA1DFF" w:rsidRDefault="00980A03" w:rsidP="00980A03">
            <w:pPr>
              <w:rPr>
                <w:sz w:val="20"/>
                <w:szCs w:val="20"/>
              </w:rPr>
            </w:pPr>
            <w:r w:rsidRPr="00BA1DFF">
              <w:rPr>
                <w:sz w:val="20"/>
                <w:szCs w:val="20"/>
              </w:rPr>
              <w:t xml:space="preserve">For direct AI/ML positioning, for L in the range of 0.25m to 5m, the positioning error increases approximately in proportion to L, where L (in meters) is the standard deviation of truncated Gaussian Distribution of the ground truth label error.  </w:t>
            </w: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b/>
                <w:bCs/>
                <w:sz w:val="20"/>
                <w:szCs w:val="20"/>
              </w:rPr>
            </w:pPr>
            <w:r w:rsidRPr="00BA1DFF">
              <w:rPr>
                <w:b/>
                <w:bCs/>
                <w:sz w:val="20"/>
                <w:szCs w:val="20"/>
              </w:rPr>
              <w:t xml:space="preserve">Observation </w:t>
            </w:r>
          </w:p>
          <w:p w:rsidR="00980A03" w:rsidRPr="00BA1DFF" w:rsidRDefault="00980A03" w:rsidP="00980A03">
            <w:pPr>
              <w:rPr>
                <w:sz w:val="20"/>
                <w:szCs w:val="20"/>
              </w:rPr>
            </w:pPr>
            <w:r w:rsidRPr="00BA1DFF">
              <w:rPr>
                <w:sz w:val="20"/>
                <w:szCs w:val="20"/>
              </w:rPr>
              <w:t xml:space="preserve">For AI/ML </w:t>
            </w:r>
            <w:r w:rsidRPr="00BA1DFF">
              <w:rPr>
                <w:b/>
                <w:bCs/>
                <w:sz w:val="20"/>
                <w:szCs w:val="20"/>
              </w:rPr>
              <w:t>assisted</w:t>
            </w:r>
            <w:r w:rsidRPr="00BA1DFF">
              <w:rPr>
                <w:sz w:val="20"/>
                <w:szCs w:val="20"/>
              </w:rPr>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w:t>
            </w:r>
            <w:r w:rsidRPr="00BA1DFF">
              <w:rPr>
                <w:sz w:val="20"/>
                <w:szCs w:val="20"/>
              </w:rPr>
              <w:lastRenderedPageBreak/>
              <w:t xml:space="preserve">conventional positioning method. The associated conventional positioning method refers to the method which utilizes the AI/ML model output to determine target UE location. </w:t>
            </w:r>
          </w:p>
          <w:p w:rsidR="00980A03" w:rsidRPr="00BA1DFF" w:rsidRDefault="00980A03" w:rsidP="00980A03">
            <w:pPr>
              <w:pStyle w:val="ListParagraph"/>
              <w:widowControl w:val="0"/>
              <w:ind w:left="1680"/>
              <w:jc w:val="both"/>
              <w:rPr>
                <w:rFonts w:ascii="Times New Roman" w:hAnsi="Times New Roman"/>
                <w:szCs w:val="20"/>
                <w:lang w:val="en-US"/>
              </w:rPr>
            </w:pPr>
            <w:r w:rsidRPr="00BA1DFF">
              <w:rPr>
                <w:rFonts w:ascii="Times New Roman" w:hAnsi="Times New Roman"/>
                <w:szCs w:val="20"/>
                <w:lang w:val="en-US"/>
              </w:rPr>
              <w:t xml:space="preserve">Note: Sources include vivo (R1-2302481), </w:t>
            </w:r>
            <w:r w:rsidRPr="00BA1DFF">
              <w:rPr>
                <w:rFonts w:ascii="Times New Roman" w:eastAsia="Times New Roman" w:hAnsi="Times New Roman"/>
                <w:szCs w:val="20"/>
                <w:lang w:val="en-US"/>
              </w:rPr>
              <w:t>MediaTek (R1-2303340), Ericsson (R1-2302335)</w:t>
            </w: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b/>
                <w:bCs/>
                <w:sz w:val="20"/>
                <w:szCs w:val="20"/>
              </w:rPr>
            </w:pPr>
            <w:r w:rsidRPr="00BA1DFF">
              <w:rPr>
                <w:b/>
                <w:bCs/>
                <w:sz w:val="20"/>
                <w:szCs w:val="20"/>
              </w:rPr>
              <w:t>Observation</w:t>
            </w:r>
          </w:p>
          <w:p w:rsidR="00980A03" w:rsidRPr="00BA1DFF" w:rsidRDefault="00980A03" w:rsidP="00980A03">
            <w:pPr>
              <w:rPr>
                <w:sz w:val="20"/>
                <w:szCs w:val="20"/>
              </w:rPr>
            </w:pPr>
            <w:r w:rsidRPr="00BA1DFF">
              <w:rPr>
                <w:sz w:val="20"/>
                <w:szCs w:val="20"/>
              </w:rPr>
              <w:t>For both direct AI/ML and AI/ML assisted positioning, evaluation results have been provided by sources to demonstrate the feasibility of label-free model monitoring methods.</w:t>
            </w:r>
          </w:p>
          <w:p w:rsidR="00980A03" w:rsidRPr="00BA1DFF" w:rsidRDefault="00980A03" w:rsidP="00980A03">
            <w:pPr>
              <w:pStyle w:val="ListParagraph"/>
              <w:widowControl w:val="0"/>
              <w:ind w:left="1680"/>
              <w:jc w:val="both"/>
              <w:rPr>
                <w:rFonts w:ascii="Times New Roman" w:hAnsi="Times New Roman"/>
                <w:szCs w:val="20"/>
                <w:lang w:val="en-US"/>
              </w:rPr>
            </w:pPr>
            <w:r w:rsidRPr="00BA1DFF">
              <w:rPr>
                <w:rFonts w:ascii="Times New Roman" w:hAnsi="Times New Roman"/>
                <w:szCs w:val="20"/>
                <w:lang w:val="en-US"/>
              </w:rPr>
              <w:t xml:space="preserve">Note: Sources include vivo (R1-2302481), CATT (R1-2302699), </w:t>
            </w:r>
            <w:r w:rsidRPr="00BA1DFF">
              <w:rPr>
                <w:rFonts w:ascii="Times New Roman" w:eastAsia="Times New Roman" w:hAnsi="Times New Roman"/>
                <w:szCs w:val="20"/>
                <w:lang w:val="en-US"/>
              </w:rPr>
              <w:t>MediaTek (R1-2303340), Ericsson (R1-2302335), Nokia (R1-2302632).</w:t>
            </w: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b/>
                <w:bCs/>
                <w:sz w:val="20"/>
                <w:szCs w:val="20"/>
              </w:rPr>
            </w:pPr>
            <w:r w:rsidRPr="00BA1DFF">
              <w:rPr>
                <w:b/>
                <w:bCs/>
                <w:sz w:val="20"/>
                <w:szCs w:val="20"/>
              </w:rPr>
              <w:t>Observation</w:t>
            </w:r>
          </w:p>
          <w:p w:rsidR="00980A03" w:rsidRPr="00BA1DFF" w:rsidRDefault="00980A03" w:rsidP="00980A03">
            <w:pPr>
              <w:shd w:val="clear" w:color="auto" w:fill="FFFFFF"/>
              <w:rPr>
                <w:rFonts w:eastAsia="SimSun"/>
                <w:color w:val="000000"/>
                <w:sz w:val="20"/>
                <w:szCs w:val="20"/>
              </w:rPr>
            </w:pPr>
            <w:r w:rsidRPr="00BA1DFF">
              <w:rPr>
                <w:rFonts w:eastAsia="SimSun"/>
                <w:color w:val="000000"/>
                <w:sz w:val="20"/>
                <w:szCs w:val="20"/>
              </w:rPr>
              <w:t>For both direct AI/ML and AI/ML assisted positioning, evaluation results submitted to RAN1#112bis show that with CIR model input for a trained model,</w:t>
            </w:r>
          </w:p>
          <w:p w:rsidR="00980A03" w:rsidRPr="00BA1DFF" w:rsidRDefault="00980A03" w:rsidP="00980A03">
            <w:pPr>
              <w:numPr>
                <w:ilvl w:val="0"/>
                <w:numId w:val="54"/>
              </w:numPr>
              <w:shd w:val="clear" w:color="auto" w:fill="FFFFFF"/>
              <w:tabs>
                <w:tab w:val="clear" w:pos="720"/>
                <w:tab w:val="num" w:pos="420"/>
              </w:tabs>
              <w:spacing w:after="160" w:line="210" w:lineRule="atLeast"/>
              <w:ind w:leftChars="105" w:left="612"/>
              <w:rPr>
                <w:rFonts w:eastAsia="Microsoft YaHei UI"/>
                <w:color w:val="000000"/>
                <w:sz w:val="20"/>
                <w:szCs w:val="20"/>
              </w:rPr>
            </w:pPr>
            <w:r w:rsidRPr="00BA1DFF">
              <w:rPr>
                <w:rFonts w:eastAsia="Microsoft YaHei UI"/>
                <w:color w:val="000000"/>
                <w:sz w:val="20"/>
                <w:szCs w:val="20"/>
              </w:rPr>
              <w:t>For two SNR/SINR values S1 (dB) and S2 (dB), S1&gt;=S2 + 15 dB,  positioning error of a model trained with data of S1 (dB) and tested with data of S2 (dB) is more than 5.75 times that of the model trained and tested with data of S1 (dB).</w:t>
            </w:r>
          </w:p>
          <w:p w:rsidR="00980A03" w:rsidRPr="00BA1DFF" w:rsidRDefault="00980A03" w:rsidP="00980A03">
            <w:pPr>
              <w:numPr>
                <w:ilvl w:val="0"/>
                <w:numId w:val="54"/>
              </w:numPr>
              <w:shd w:val="clear" w:color="auto" w:fill="FFFFFF"/>
              <w:tabs>
                <w:tab w:val="clear" w:pos="720"/>
                <w:tab w:val="num" w:pos="570"/>
              </w:tabs>
              <w:spacing w:after="160" w:line="210" w:lineRule="atLeast"/>
              <w:ind w:leftChars="105" w:left="612"/>
              <w:rPr>
                <w:rFonts w:eastAsia="Microsoft YaHei UI"/>
                <w:color w:val="000000"/>
                <w:sz w:val="20"/>
                <w:szCs w:val="20"/>
              </w:rPr>
            </w:pPr>
            <w:r w:rsidRPr="00BA1DFF">
              <w:rPr>
                <w:rFonts w:eastAsia="Microsoft YaHei UI"/>
                <w:color w:val="000000"/>
                <w:sz w:val="20"/>
                <w:szCs w:val="20"/>
              </w:rPr>
              <w:t>For two SNR/SINR values S1 (dB) and S2 (dB), S1&lt;=S2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rsidR="00980A03" w:rsidRPr="00BA1DFF" w:rsidRDefault="00980A03" w:rsidP="00980A03">
            <w:pPr>
              <w:shd w:val="clear" w:color="auto" w:fill="FFFFFF"/>
              <w:rPr>
                <w:rFonts w:eastAsia="SimSun"/>
                <w:sz w:val="20"/>
                <w:szCs w:val="20"/>
              </w:rPr>
            </w:pPr>
            <w:r w:rsidRPr="00BA1DFF">
              <w:rPr>
                <w:rFonts w:eastAsia="SimSun"/>
                <w:sz w:val="20"/>
                <w:szCs w:val="20"/>
              </w:rPr>
              <w:t>Note: here the positioning error is the horizonal positioning error (meters) at CDF=90%.</w:t>
            </w:r>
          </w:p>
          <w:p w:rsidR="00980A03" w:rsidRPr="00BA1DFF" w:rsidRDefault="00980A03" w:rsidP="00980A03">
            <w:pPr>
              <w:rPr>
                <w:sz w:val="20"/>
                <w:szCs w:val="20"/>
              </w:rPr>
            </w:pPr>
          </w:p>
          <w:p w:rsidR="00980A03" w:rsidRPr="00BA1DFF" w:rsidRDefault="00980A03" w:rsidP="00980A03">
            <w:pPr>
              <w:rPr>
                <w:sz w:val="20"/>
                <w:szCs w:val="20"/>
              </w:rPr>
            </w:pPr>
          </w:p>
          <w:p w:rsidR="00980A03" w:rsidRPr="00BA1DFF" w:rsidRDefault="00980A03" w:rsidP="00980A03">
            <w:pPr>
              <w:rPr>
                <w:b/>
                <w:bCs/>
                <w:sz w:val="20"/>
                <w:szCs w:val="20"/>
              </w:rPr>
            </w:pPr>
            <w:r w:rsidRPr="00BA1DFF">
              <w:rPr>
                <w:b/>
                <w:bCs/>
                <w:sz w:val="20"/>
                <w:szCs w:val="20"/>
              </w:rPr>
              <w:t>Observation</w:t>
            </w:r>
          </w:p>
          <w:p w:rsidR="00980A03" w:rsidRPr="00BA1DFF" w:rsidRDefault="00980A03" w:rsidP="00980A03">
            <w:pPr>
              <w:shd w:val="clear" w:color="auto" w:fill="FFFFFF"/>
              <w:rPr>
                <w:rFonts w:eastAsia="SimSun"/>
                <w:sz w:val="20"/>
                <w:szCs w:val="20"/>
              </w:rPr>
            </w:pPr>
            <w:r w:rsidRPr="00BA1DFF">
              <w:rPr>
                <w:rFonts w:eastAsia="SimSun"/>
                <w:sz w:val="20"/>
                <w:szCs w:val="20"/>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rsidR="00980A03" w:rsidRPr="00BA1DFF" w:rsidRDefault="00980A03" w:rsidP="00980A03">
            <w:pPr>
              <w:numPr>
                <w:ilvl w:val="0"/>
                <w:numId w:val="55"/>
              </w:numPr>
              <w:shd w:val="clear" w:color="auto" w:fill="FFFFFF"/>
              <w:tabs>
                <w:tab w:val="clear" w:pos="720"/>
                <w:tab w:val="num" w:pos="570"/>
              </w:tabs>
              <w:spacing w:after="160" w:line="210" w:lineRule="atLeast"/>
              <w:ind w:leftChars="105" w:left="612"/>
              <w:rPr>
                <w:rFonts w:eastAsia="Microsoft YaHei UI"/>
                <w:sz w:val="20"/>
                <w:szCs w:val="20"/>
              </w:rPr>
            </w:pPr>
            <w:r w:rsidRPr="00BA1DFF">
              <w:rPr>
                <w:rFonts w:eastAsia="Microsoft YaHei UI"/>
                <w:sz w:val="20"/>
                <w:szCs w:val="20"/>
              </w:rPr>
              <w:t>For a case evaluated by a given source, the positioning accuracy of cases with t2 smaller than t1 is better than the cases with t2 equal to t1. For example,</w:t>
            </w:r>
          </w:p>
          <w:p w:rsidR="00980A03" w:rsidRPr="00BA1DFF" w:rsidRDefault="00980A03" w:rsidP="00980A03">
            <w:pPr>
              <w:numPr>
                <w:ilvl w:val="1"/>
                <w:numId w:val="55"/>
              </w:numPr>
              <w:shd w:val="clear" w:color="auto" w:fill="FFFFFF"/>
              <w:tabs>
                <w:tab w:val="clear" w:pos="1440"/>
                <w:tab w:val="num" w:pos="1290"/>
              </w:tabs>
              <w:spacing w:after="160" w:line="210" w:lineRule="atLeast"/>
              <w:ind w:leftChars="465" w:left="1476"/>
              <w:rPr>
                <w:rFonts w:eastAsia="Microsoft YaHei UI"/>
                <w:sz w:val="20"/>
                <w:szCs w:val="20"/>
              </w:rPr>
            </w:pPr>
            <w:r w:rsidRPr="00BA1DFF">
              <w:rPr>
                <w:rFonts w:eastAsia="Microsoft YaHei UI"/>
                <w:sz w:val="20"/>
                <w:szCs w:val="20"/>
              </w:rPr>
              <w:t>For the case of (t1, t2)=(50ns, 30ns), evaluation results submitted to RAN1#112bis show the positioning error of (t1, t2)=(50ns, 30ns) is 0.82~0.86 times that of (t1, t2)=(50ns, 50ns).</w:t>
            </w:r>
          </w:p>
          <w:p w:rsidR="00980A03" w:rsidRPr="00BA1DFF" w:rsidRDefault="00980A03" w:rsidP="00980A03">
            <w:pPr>
              <w:numPr>
                <w:ilvl w:val="1"/>
                <w:numId w:val="55"/>
              </w:numPr>
              <w:shd w:val="clear" w:color="auto" w:fill="FFFFFF"/>
              <w:tabs>
                <w:tab w:val="clear" w:pos="1440"/>
                <w:tab w:val="num" w:pos="1290"/>
              </w:tabs>
              <w:spacing w:after="160" w:line="210" w:lineRule="atLeast"/>
              <w:ind w:leftChars="465" w:left="1476"/>
              <w:rPr>
                <w:rFonts w:eastAsia="Microsoft YaHei UI"/>
                <w:sz w:val="20"/>
                <w:szCs w:val="20"/>
              </w:rPr>
            </w:pPr>
            <w:r w:rsidRPr="00BA1DFF">
              <w:rPr>
                <w:rFonts w:eastAsia="Microsoft YaHei UI"/>
                <w:sz w:val="20"/>
                <w:szCs w:val="20"/>
              </w:rPr>
              <w:t>For the case of (t1, t2)=(50ns, 0ns), evaluation results submitted to RAN1#112bis show the positioning error of (t1, t2)=(50ns, 0ns) is 0.80~0.82 times that of (t1, t2)=(50ns, 50ns).</w:t>
            </w:r>
          </w:p>
          <w:p w:rsidR="00980A03" w:rsidRPr="00BA1DFF" w:rsidRDefault="00980A03" w:rsidP="00980A03">
            <w:pPr>
              <w:numPr>
                <w:ilvl w:val="0"/>
                <w:numId w:val="55"/>
              </w:numPr>
              <w:shd w:val="clear" w:color="auto" w:fill="FFFFFF"/>
              <w:tabs>
                <w:tab w:val="clear" w:pos="720"/>
                <w:tab w:val="num" w:pos="570"/>
              </w:tabs>
              <w:spacing w:after="160" w:line="210" w:lineRule="atLeast"/>
              <w:ind w:leftChars="105" w:left="612"/>
              <w:rPr>
                <w:rFonts w:eastAsia="Microsoft YaHei UI"/>
                <w:sz w:val="20"/>
                <w:szCs w:val="20"/>
              </w:rPr>
            </w:pPr>
            <w:r w:rsidRPr="00BA1DFF">
              <w:rPr>
                <w:rFonts w:eastAsia="Microsoft YaHei UI"/>
                <w:sz w:val="20"/>
                <w:szCs w:val="20"/>
              </w:rPr>
              <w:t>For a case evaluated by a given source, the positioning accuracy of cases with t2 greater than t1 is worse than the cases with t2 equal to t1. The larger the difference between t1 and t2, the more the degradation. For example,</w:t>
            </w:r>
          </w:p>
          <w:p w:rsidR="00980A03" w:rsidRPr="00BA1DFF" w:rsidRDefault="00980A03" w:rsidP="00980A03">
            <w:pPr>
              <w:numPr>
                <w:ilvl w:val="1"/>
                <w:numId w:val="55"/>
              </w:numPr>
              <w:shd w:val="clear" w:color="auto" w:fill="FFFFFF"/>
              <w:tabs>
                <w:tab w:val="clear" w:pos="1440"/>
                <w:tab w:val="num" w:pos="1290"/>
              </w:tabs>
              <w:spacing w:after="160" w:line="210" w:lineRule="atLeast"/>
              <w:ind w:leftChars="465" w:left="1476"/>
              <w:rPr>
                <w:rFonts w:eastAsia="Microsoft YaHei UI"/>
                <w:sz w:val="20"/>
                <w:szCs w:val="20"/>
              </w:rPr>
            </w:pPr>
            <w:r w:rsidRPr="00BA1DFF">
              <w:rPr>
                <w:rFonts w:eastAsia="Microsoft YaHei UI"/>
                <w:sz w:val="20"/>
                <w:szCs w:val="20"/>
              </w:rPr>
              <w:t>For the case of (t1, t2)=(0ns, 10ns), evaluation results submitted to RAN1#112bis show the positioning error of (t1, t2)=(0ns, 10ns) is 1.25~18.7 times that of (t1, t2)=(0ns, 0ns).</w:t>
            </w:r>
          </w:p>
          <w:p w:rsidR="00980A03" w:rsidRPr="00BA1DFF" w:rsidRDefault="00980A03" w:rsidP="00980A03">
            <w:pPr>
              <w:numPr>
                <w:ilvl w:val="1"/>
                <w:numId w:val="55"/>
              </w:numPr>
              <w:shd w:val="clear" w:color="auto" w:fill="FFFFFF"/>
              <w:tabs>
                <w:tab w:val="clear" w:pos="1440"/>
                <w:tab w:val="num" w:pos="1290"/>
              </w:tabs>
              <w:spacing w:after="160" w:line="210" w:lineRule="atLeast"/>
              <w:ind w:leftChars="465" w:left="1476"/>
              <w:rPr>
                <w:rFonts w:eastAsia="Microsoft YaHei UI"/>
                <w:sz w:val="20"/>
                <w:szCs w:val="20"/>
              </w:rPr>
            </w:pPr>
            <w:r w:rsidRPr="00BA1DFF">
              <w:rPr>
                <w:rFonts w:eastAsia="Microsoft YaHei UI"/>
                <w:sz w:val="20"/>
                <w:szCs w:val="20"/>
              </w:rPr>
              <w:t>For the case of (t1, t2)=(0ns, 50ns), evaluation results submitted to RAN1#112bis show the positioning error of (t1, t2)=(0ns, 50ns) is 3.5~18.3 times that of (t1, t2)=(0ns, 0ns).</w:t>
            </w:r>
          </w:p>
          <w:p w:rsidR="00980A03" w:rsidRPr="00BA1DFF" w:rsidRDefault="00980A03" w:rsidP="00980A03">
            <w:pPr>
              <w:shd w:val="clear" w:color="auto" w:fill="FFFFFF"/>
              <w:rPr>
                <w:rFonts w:eastAsia="SimSun"/>
                <w:color w:val="000000"/>
                <w:sz w:val="20"/>
                <w:szCs w:val="20"/>
              </w:rPr>
            </w:pPr>
            <w:r w:rsidRPr="00BA1DFF">
              <w:rPr>
                <w:rFonts w:eastAsia="SimSun"/>
                <w:sz w:val="20"/>
                <w:szCs w:val="20"/>
              </w:rPr>
              <w:t>Note: here the positioning error is the horizonal positioning error (meters) at CDF=90%</w:t>
            </w:r>
            <w:r w:rsidRPr="00BA1DFF">
              <w:rPr>
                <w:rFonts w:eastAsia="SimSun"/>
                <w:color w:val="FF0000"/>
                <w:sz w:val="20"/>
                <w:szCs w:val="20"/>
              </w:rPr>
              <w:t>.</w:t>
            </w:r>
          </w:p>
          <w:p w:rsidR="00980A03" w:rsidRPr="00BA1DFF" w:rsidRDefault="00980A03" w:rsidP="00980A03">
            <w:pPr>
              <w:rPr>
                <w:sz w:val="20"/>
                <w:szCs w:val="20"/>
              </w:rPr>
            </w:pPr>
          </w:p>
          <w:p w:rsidR="00980A03" w:rsidRPr="00BA1DFF" w:rsidRDefault="00980A03" w:rsidP="00980A03">
            <w:pPr>
              <w:rPr>
                <w:b/>
                <w:bCs/>
                <w:sz w:val="20"/>
                <w:szCs w:val="20"/>
              </w:rPr>
            </w:pPr>
            <w:r w:rsidRPr="00BA1DFF">
              <w:rPr>
                <w:b/>
                <w:bCs/>
                <w:sz w:val="20"/>
                <w:szCs w:val="20"/>
              </w:rPr>
              <w:t>Observation</w:t>
            </w:r>
          </w:p>
          <w:p w:rsidR="00980A03" w:rsidRPr="00BA1DFF" w:rsidRDefault="00980A03" w:rsidP="00980A03">
            <w:pPr>
              <w:shd w:val="clear" w:color="auto" w:fill="FFFFFF"/>
              <w:rPr>
                <w:rFonts w:eastAsia="SimSun"/>
                <w:color w:val="000000"/>
                <w:sz w:val="20"/>
                <w:szCs w:val="20"/>
              </w:rPr>
            </w:pPr>
            <w:r w:rsidRPr="00BA1DFF">
              <w:rPr>
                <w:rFonts w:eastAsia="SimSun"/>
                <w:color w:val="000000"/>
                <w:sz w:val="20"/>
                <w:szCs w:val="20"/>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rsidR="00980A03" w:rsidRPr="00BA1DFF" w:rsidRDefault="00980A03" w:rsidP="00980A03">
            <w:pPr>
              <w:numPr>
                <w:ilvl w:val="0"/>
                <w:numId w:val="56"/>
              </w:numPr>
              <w:shd w:val="clear" w:color="auto" w:fill="FFFFFF"/>
              <w:tabs>
                <w:tab w:val="clear" w:pos="720"/>
                <w:tab w:val="num" w:pos="570"/>
              </w:tabs>
              <w:spacing w:after="160" w:line="210" w:lineRule="atLeast"/>
              <w:ind w:leftChars="105" w:left="612"/>
              <w:rPr>
                <w:rFonts w:eastAsia="Microsoft YaHei UI"/>
                <w:color w:val="000000"/>
                <w:sz w:val="20"/>
                <w:szCs w:val="20"/>
              </w:rPr>
            </w:pPr>
            <w:r w:rsidRPr="00BA1DFF">
              <w:rPr>
                <w:rFonts w:eastAsia="Microsoft YaHei UI"/>
                <w:color w:val="000000"/>
                <w:sz w:val="20"/>
                <w:szCs w:val="20"/>
              </w:rPr>
              <w:t>For a case evaluated by a given source, the positioning accuracy of cases with t2 smaller than t1 is better than the cases with t2 equal to t1. For example,</w:t>
            </w:r>
          </w:p>
          <w:p w:rsidR="00980A03" w:rsidRPr="00BA1DFF" w:rsidRDefault="00980A03" w:rsidP="00980A03">
            <w:pPr>
              <w:numPr>
                <w:ilvl w:val="1"/>
                <w:numId w:val="56"/>
              </w:numPr>
              <w:shd w:val="clear" w:color="auto" w:fill="FFFFFF"/>
              <w:tabs>
                <w:tab w:val="clear" w:pos="1440"/>
                <w:tab w:val="num" w:pos="1290"/>
              </w:tabs>
              <w:spacing w:after="160" w:line="210" w:lineRule="atLeast"/>
              <w:ind w:leftChars="465" w:left="1476"/>
              <w:rPr>
                <w:rFonts w:eastAsia="Microsoft YaHei UI"/>
                <w:color w:val="000000"/>
                <w:sz w:val="20"/>
                <w:szCs w:val="20"/>
              </w:rPr>
            </w:pPr>
            <w:r w:rsidRPr="00BA1DFF">
              <w:rPr>
                <w:rFonts w:eastAsia="Microsoft YaHei UI"/>
                <w:color w:val="000000"/>
                <w:sz w:val="20"/>
                <w:szCs w:val="20"/>
              </w:rPr>
              <w:t>For the case of (t1, t2)=(50ns, 10ns), evaluation results submitted to RAN1#112bis show the positioning error of (t1, t2)=(50ns, 10ns) is 0.74~0.83 times that of (t1, t2)=(50ns, 50ns).</w:t>
            </w:r>
          </w:p>
          <w:p w:rsidR="00980A03" w:rsidRPr="00BA1DFF" w:rsidRDefault="00980A03" w:rsidP="00980A03">
            <w:pPr>
              <w:numPr>
                <w:ilvl w:val="1"/>
                <w:numId w:val="56"/>
              </w:numPr>
              <w:shd w:val="clear" w:color="auto" w:fill="FFFFFF"/>
              <w:tabs>
                <w:tab w:val="clear" w:pos="1440"/>
                <w:tab w:val="num" w:pos="1290"/>
              </w:tabs>
              <w:spacing w:after="160" w:line="210" w:lineRule="atLeast"/>
              <w:ind w:leftChars="465" w:left="1476"/>
              <w:rPr>
                <w:rFonts w:eastAsia="Microsoft YaHei UI"/>
                <w:color w:val="000000"/>
                <w:sz w:val="20"/>
                <w:szCs w:val="20"/>
              </w:rPr>
            </w:pPr>
            <w:r w:rsidRPr="00BA1DFF">
              <w:rPr>
                <w:rFonts w:eastAsia="Microsoft YaHei UI"/>
                <w:color w:val="000000"/>
                <w:sz w:val="20"/>
                <w:szCs w:val="20"/>
              </w:rPr>
              <w:lastRenderedPageBreak/>
              <w:t>For the case of (t1, t2)=(50ns, 0ns), evaluation results submitted to RAN1#112bis show the positioning error of (t1, t2)=(50ns, 0ns) is 0.73~0.82 times that of (t1, t2)=(50ns, 50ns).</w:t>
            </w:r>
          </w:p>
          <w:p w:rsidR="00980A03" w:rsidRPr="00BA1DFF" w:rsidRDefault="00980A03" w:rsidP="00980A03">
            <w:pPr>
              <w:numPr>
                <w:ilvl w:val="0"/>
                <w:numId w:val="56"/>
              </w:numPr>
              <w:shd w:val="clear" w:color="auto" w:fill="FFFFFF"/>
              <w:tabs>
                <w:tab w:val="clear" w:pos="720"/>
                <w:tab w:val="num" w:pos="570"/>
              </w:tabs>
              <w:spacing w:after="160" w:line="210" w:lineRule="atLeast"/>
              <w:ind w:leftChars="105" w:left="612"/>
              <w:rPr>
                <w:rFonts w:eastAsia="Microsoft YaHei UI"/>
                <w:color w:val="000000"/>
                <w:sz w:val="20"/>
                <w:szCs w:val="20"/>
              </w:rPr>
            </w:pPr>
            <w:r w:rsidRPr="00BA1DFF">
              <w:rPr>
                <w:rFonts w:eastAsia="Microsoft YaHei UI"/>
                <w:color w:val="000000"/>
                <w:sz w:val="20"/>
                <w:szCs w:val="20"/>
              </w:rPr>
              <w:t>For a case evaluated by a given source, the positioning accuracy of cases with t2 greater than t1 is worse than the cases with t2 equal to t1. The larger the difference between t1 and t2, the more the degradation. For example,</w:t>
            </w:r>
          </w:p>
          <w:p w:rsidR="00980A03" w:rsidRPr="00BA1DFF" w:rsidRDefault="00980A03" w:rsidP="00980A03">
            <w:pPr>
              <w:numPr>
                <w:ilvl w:val="1"/>
                <w:numId w:val="56"/>
              </w:numPr>
              <w:shd w:val="clear" w:color="auto" w:fill="FFFFFF"/>
              <w:tabs>
                <w:tab w:val="clear" w:pos="1440"/>
                <w:tab w:val="num" w:pos="1290"/>
              </w:tabs>
              <w:spacing w:after="160" w:line="210" w:lineRule="atLeast"/>
              <w:ind w:leftChars="465" w:left="1476"/>
              <w:rPr>
                <w:rFonts w:eastAsia="Microsoft YaHei UI"/>
                <w:color w:val="000000"/>
                <w:sz w:val="20"/>
                <w:szCs w:val="20"/>
              </w:rPr>
            </w:pPr>
            <w:r w:rsidRPr="00BA1DFF">
              <w:rPr>
                <w:rFonts w:eastAsia="Microsoft YaHei UI"/>
                <w:color w:val="000000"/>
                <w:sz w:val="20"/>
                <w:szCs w:val="20"/>
              </w:rPr>
              <w:t>For the case of (t1, t2)=(0ns, 10ns), evaluation results submitted to RAN1#112bis show the positioning error of (0ns, 10ns) is 1.17~9.5 times that of (0ns, 0ns).</w:t>
            </w:r>
          </w:p>
          <w:p w:rsidR="00980A03" w:rsidRPr="00BA1DFF" w:rsidRDefault="00980A03" w:rsidP="00980A03">
            <w:pPr>
              <w:numPr>
                <w:ilvl w:val="1"/>
                <w:numId w:val="56"/>
              </w:numPr>
              <w:shd w:val="clear" w:color="auto" w:fill="FFFFFF"/>
              <w:tabs>
                <w:tab w:val="clear" w:pos="1440"/>
                <w:tab w:val="num" w:pos="1290"/>
              </w:tabs>
              <w:spacing w:after="160" w:line="210" w:lineRule="atLeast"/>
              <w:ind w:leftChars="465" w:left="1476"/>
              <w:rPr>
                <w:rFonts w:eastAsia="Microsoft YaHei UI"/>
                <w:color w:val="000000"/>
                <w:sz w:val="20"/>
                <w:szCs w:val="20"/>
              </w:rPr>
            </w:pPr>
            <w:r w:rsidRPr="00BA1DFF">
              <w:rPr>
                <w:rFonts w:eastAsia="Microsoft YaHei UI"/>
                <w:color w:val="000000"/>
                <w:sz w:val="20"/>
                <w:szCs w:val="20"/>
              </w:rPr>
              <w:t>For the case of (t1, t2)=(0ns, 50ns), evaluation results submitted to RAN1#112bis show the positioning error of (0ns, 50ns) is 10~40 times that of (0ns, 0ns).</w:t>
            </w:r>
          </w:p>
          <w:p w:rsidR="00980A03" w:rsidRPr="00BA1DFF" w:rsidRDefault="00980A03" w:rsidP="00980A03">
            <w:pPr>
              <w:shd w:val="clear" w:color="auto" w:fill="FFFFFF"/>
              <w:rPr>
                <w:rFonts w:eastAsia="SimSun"/>
                <w:sz w:val="20"/>
                <w:szCs w:val="20"/>
              </w:rPr>
            </w:pPr>
            <w:r w:rsidRPr="00BA1DFF">
              <w:rPr>
                <w:rFonts w:eastAsia="SimSun"/>
                <w:sz w:val="20"/>
                <w:szCs w:val="20"/>
              </w:rPr>
              <w:t>Note: here the positioning error is the horizonal positioning error (meters) at CDF=90%.</w:t>
            </w:r>
          </w:p>
          <w:p w:rsidR="00557396" w:rsidRPr="00980A03" w:rsidRDefault="00557396" w:rsidP="00980A03">
            <w:pPr>
              <w:widowControl w:val="0"/>
              <w:jc w:val="both"/>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9F57BE" w:rsidRDefault="009F57BE" w:rsidP="00557396">
      <w:pPr>
        <w:pStyle w:val="0Maintext"/>
        <w:spacing w:after="120" w:afterAutospacing="0" w:line="240" w:lineRule="auto"/>
        <w:ind w:firstLine="0"/>
        <w:rPr>
          <w:lang w:val="en-US" w:eastAsia="zh-CN"/>
        </w:rPr>
      </w:pPr>
      <w:r>
        <w:rPr>
          <w:lang w:val="en-US" w:eastAsia="zh-CN"/>
        </w:rPr>
        <w:t>In RAN1 #11</w:t>
      </w:r>
      <w:r w:rsidR="00D845CE">
        <w:rPr>
          <w:lang w:val="en-US" w:eastAsia="zh-CN"/>
        </w:rPr>
        <w:t>0b</w:t>
      </w:r>
      <w:r>
        <w:rPr>
          <w:lang w:val="en-US" w:eastAsia="zh-CN"/>
        </w:rPr>
        <w:t>, the following agreement on the input of ML based positioning was achieved.</w:t>
      </w:r>
    </w:p>
    <w:tbl>
      <w:tblPr>
        <w:tblStyle w:val="TableGrid"/>
        <w:tblW w:w="0" w:type="auto"/>
        <w:tblLook w:val="04A0" w:firstRow="1" w:lastRow="0" w:firstColumn="1" w:lastColumn="0" w:noHBand="0" w:noVBand="1"/>
      </w:tblPr>
      <w:tblGrid>
        <w:gridCol w:w="9010"/>
      </w:tblGrid>
      <w:tr w:rsidR="009F57BE" w:rsidTr="009F57BE">
        <w:tc>
          <w:tcPr>
            <w:tcW w:w="9010" w:type="dxa"/>
          </w:tcPr>
          <w:p w:rsidR="009F57BE" w:rsidRPr="00B92692" w:rsidRDefault="009F57BE" w:rsidP="009F57BE">
            <w:pPr>
              <w:rPr>
                <w:b/>
                <w:bCs/>
                <w:sz w:val="20"/>
                <w:szCs w:val="20"/>
                <w:highlight w:val="green"/>
                <w:u w:val="single"/>
              </w:rPr>
            </w:pPr>
            <w:r w:rsidRPr="00B92692">
              <w:rPr>
                <w:b/>
                <w:bCs/>
                <w:sz w:val="20"/>
                <w:szCs w:val="20"/>
                <w:highlight w:val="green"/>
                <w:u w:val="single"/>
              </w:rPr>
              <w:t>Agreement</w:t>
            </w:r>
          </w:p>
          <w:p w:rsidR="009F57BE" w:rsidRPr="00B92692" w:rsidRDefault="009F57BE" w:rsidP="009F57BE">
            <w:pPr>
              <w:rPr>
                <w:color w:val="000000"/>
                <w:sz w:val="20"/>
                <w:szCs w:val="20"/>
              </w:rPr>
            </w:pPr>
            <w:r w:rsidRPr="00B92692">
              <w:rPr>
                <w:sz w:val="20"/>
                <w:szCs w:val="20"/>
              </w:rPr>
              <w:t>F</w:t>
            </w:r>
            <w:r w:rsidRPr="00B92692">
              <w:rPr>
                <w:color w:val="000000"/>
                <w:sz w:val="20"/>
                <w:szCs w:val="20"/>
              </w:rPr>
              <w:t>or the model input used in evalutions of AI/ML based positioning, if time-domain channel impulse response (CIR) or power delay profile (PDP) is used as model input in the evaluation, companies report the input dimension N</w:t>
            </w:r>
            <w:r w:rsidRPr="00B92692">
              <w:rPr>
                <w:color w:val="000000"/>
                <w:sz w:val="20"/>
                <w:szCs w:val="20"/>
                <w:vertAlign w:val="subscript"/>
              </w:rPr>
              <w:t>TRP</w:t>
            </w:r>
            <w:r w:rsidRPr="00B92692">
              <w:rPr>
                <w:color w:val="000000"/>
                <w:sz w:val="20"/>
                <w:szCs w:val="20"/>
              </w:rPr>
              <w:t xml:space="preserve"> * N</w:t>
            </w:r>
            <w:r w:rsidRPr="00B92692">
              <w:rPr>
                <w:color w:val="000000"/>
                <w:sz w:val="20"/>
                <w:szCs w:val="20"/>
                <w:vertAlign w:val="subscript"/>
              </w:rPr>
              <w:t>port</w:t>
            </w:r>
            <w:r w:rsidRPr="00B92692">
              <w:rPr>
                <w:color w:val="000000"/>
                <w:sz w:val="20"/>
                <w:szCs w:val="20"/>
              </w:rPr>
              <w:t xml:space="preserve"> * N</w:t>
            </w:r>
            <w:r w:rsidRPr="00B92692">
              <w:rPr>
                <w:color w:val="000000"/>
                <w:sz w:val="20"/>
                <w:szCs w:val="20"/>
                <w:vertAlign w:val="subscript"/>
              </w:rPr>
              <w:t>t</w:t>
            </w:r>
            <w:r w:rsidRPr="00B92692">
              <w:rPr>
                <w:color w:val="000000"/>
                <w:sz w:val="20"/>
                <w:szCs w:val="20"/>
              </w:rPr>
              <w:t>, where N</w:t>
            </w:r>
            <w:r w:rsidRPr="00B92692">
              <w:rPr>
                <w:color w:val="000000"/>
                <w:sz w:val="20"/>
                <w:szCs w:val="20"/>
                <w:vertAlign w:val="subscript"/>
              </w:rPr>
              <w:t>TRP</w:t>
            </w:r>
            <w:r w:rsidRPr="00B92692">
              <w:rPr>
                <w:color w:val="000000"/>
                <w:sz w:val="20"/>
                <w:szCs w:val="20"/>
              </w:rPr>
              <w:t xml:space="preserve"> is the number of TRPs, N</w:t>
            </w:r>
            <w:r w:rsidRPr="00B92692">
              <w:rPr>
                <w:color w:val="000000"/>
                <w:sz w:val="20"/>
                <w:szCs w:val="20"/>
                <w:vertAlign w:val="subscript"/>
              </w:rPr>
              <w:t>port</w:t>
            </w:r>
            <w:r w:rsidRPr="00B92692">
              <w:rPr>
                <w:color w:val="000000"/>
                <w:sz w:val="20"/>
                <w:szCs w:val="20"/>
              </w:rPr>
              <w:t xml:space="preserve"> is the number of transmit/receive antenna port pairs, N</w:t>
            </w:r>
            <w:r w:rsidRPr="00B92692">
              <w:rPr>
                <w:color w:val="000000"/>
                <w:sz w:val="20"/>
                <w:szCs w:val="20"/>
                <w:vertAlign w:val="subscript"/>
              </w:rPr>
              <w:t>t</w:t>
            </w:r>
            <w:r w:rsidRPr="00B92692">
              <w:rPr>
                <w:color w:val="000000"/>
                <w:sz w:val="20"/>
                <w:szCs w:val="20"/>
              </w:rPr>
              <w:t xml:space="preserve"> is the number of time domain samples.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 xml:space="preserve">Note: CIR and PDP may have different dimensions.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Note: Companies provide details on their assumption on how PDP is constructed and how (if applicable) it is mapped to Nt samples.</w:t>
            </w:r>
          </w:p>
          <w:p w:rsidR="009F57BE" w:rsidRDefault="009F57BE" w:rsidP="00557396">
            <w:pPr>
              <w:pStyle w:val="0Maintext"/>
              <w:spacing w:after="120" w:afterAutospacing="0" w:line="240" w:lineRule="auto"/>
              <w:ind w:firstLine="0"/>
              <w:rPr>
                <w:lang w:val="en-US" w:eastAsia="zh-CN"/>
              </w:rPr>
            </w:pPr>
          </w:p>
        </w:tc>
      </w:tr>
    </w:tbl>
    <w:p w:rsidR="009F57BE" w:rsidRDefault="009F57B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In RAN1 #111, the following agreement on the input of ML based positioning was achieved.</w:t>
      </w:r>
    </w:p>
    <w:tbl>
      <w:tblPr>
        <w:tblStyle w:val="TableGrid"/>
        <w:tblW w:w="0" w:type="auto"/>
        <w:tblLook w:val="04A0" w:firstRow="1" w:lastRow="0" w:firstColumn="1" w:lastColumn="0" w:noHBand="0" w:noVBand="1"/>
      </w:tblPr>
      <w:tblGrid>
        <w:gridCol w:w="9010"/>
      </w:tblGrid>
      <w:tr w:rsidR="00D845CE" w:rsidTr="00D845CE">
        <w:tc>
          <w:tcPr>
            <w:tcW w:w="9010" w:type="dxa"/>
          </w:tcPr>
          <w:p w:rsidR="00D845CE" w:rsidRPr="0034769A" w:rsidRDefault="00D845CE" w:rsidP="00D845CE">
            <w:pPr>
              <w:rPr>
                <w:b/>
                <w:bCs/>
                <w:sz w:val="20"/>
                <w:szCs w:val="20"/>
                <w:highlight w:val="green"/>
              </w:rPr>
            </w:pPr>
            <w:r w:rsidRPr="0034769A">
              <w:rPr>
                <w:b/>
                <w:bCs/>
                <w:sz w:val="20"/>
                <w:szCs w:val="20"/>
                <w:highlight w:val="green"/>
              </w:rPr>
              <w:t>Agreement</w:t>
            </w:r>
          </w:p>
          <w:p w:rsidR="00D845CE" w:rsidRPr="0034769A" w:rsidRDefault="00D845CE" w:rsidP="00D845CE">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 xml:space="preserve"> of CIR and PDP, N</w:t>
            </w:r>
            <w:r w:rsidRPr="0034769A">
              <w:rPr>
                <w:sz w:val="20"/>
                <w:szCs w:val="20"/>
                <w:vertAlign w:val="subscript"/>
                <w:lang w:eastAsia="ja-JP"/>
              </w:rPr>
              <w:t>t</w:t>
            </w:r>
            <w:r w:rsidRPr="0034769A">
              <w:rPr>
                <w:sz w:val="20"/>
                <w:szCs w:val="20"/>
                <w:lang w:eastAsia="ja-JP"/>
              </w:rPr>
              <w:t xml:space="preserve"> refers to </w:t>
            </w:r>
            <w:r w:rsidRPr="0034769A">
              <w:rPr>
                <w:strike/>
                <w:sz w:val="20"/>
                <w:szCs w:val="20"/>
                <w:lang w:eastAsia="ja-JP"/>
              </w:rPr>
              <w:t>the first</w:t>
            </w:r>
            <w:r w:rsidRPr="0034769A">
              <w:rPr>
                <w:sz w:val="20"/>
                <w:szCs w:val="20"/>
                <w:lang w:eastAsia="ja-JP"/>
              </w:rPr>
              <w:t xml:space="preserve"> N</w:t>
            </w:r>
            <w:r w:rsidRPr="0034769A">
              <w:rPr>
                <w:sz w:val="20"/>
                <w:szCs w:val="20"/>
                <w:vertAlign w:val="subscript"/>
                <w:lang w:eastAsia="ja-JP"/>
              </w:rPr>
              <w:t>t</w:t>
            </w:r>
            <w:r w:rsidRPr="0034769A">
              <w:rPr>
                <w:sz w:val="20"/>
                <w:szCs w:val="20"/>
                <w:lang w:eastAsia="ja-JP"/>
              </w:rPr>
              <w:t xml:space="preserve"> </w:t>
            </w:r>
            <w:r w:rsidRPr="0034769A">
              <w:rPr>
                <w:color w:val="FF0000"/>
                <w:sz w:val="20"/>
                <w:szCs w:val="20"/>
              </w:rPr>
              <w:t xml:space="preserve">consecutive </w:t>
            </w:r>
            <w:r w:rsidRPr="0034769A">
              <w:rPr>
                <w:sz w:val="20"/>
                <w:szCs w:val="20"/>
                <w:lang w:eastAsia="ja-JP"/>
              </w:rPr>
              <w:t>time domain samples.</w:t>
            </w:r>
          </w:p>
          <w:p w:rsidR="00D845CE" w:rsidRPr="0034769A" w:rsidRDefault="00D845CE" w:rsidP="00D845CE">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&lt;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with the strongest power are selected as model input, with </w:t>
            </w:r>
            <w:r w:rsidRPr="0034769A">
              <w:rPr>
                <w:rFonts w:ascii="Times New Roman" w:eastAsia="SimSun" w:hAnsi="Times New Roman"/>
                <w:color w:val="FF0000"/>
                <w:szCs w:val="20"/>
                <w:lang w:val="en-US"/>
              </w:rPr>
              <w:t>remaining</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time domain samples set to zero, then companies report value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in addition to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It is also assumed that timing info for the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need to be provided as model input.</w:t>
            </w:r>
          </w:p>
          <w:p w:rsidR="00D845CE" w:rsidRDefault="00D845CE" w:rsidP="00557396">
            <w:pPr>
              <w:pStyle w:val="0Maintext"/>
              <w:spacing w:after="120" w:afterAutospacing="0" w:line="240" w:lineRule="auto"/>
              <w:ind w:firstLine="0"/>
              <w:rPr>
                <w:lang w:val="en-US" w:eastAsia="zh-CN"/>
              </w:rPr>
            </w:pPr>
          </w:p>
        </w:tc>
      </w:tr>
    </w:tbl>
    <w:p w:rsidR="00D845CE" w:rsidRDefault="00D845C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It is clarified that the CIR/PDP should be derived based on the N</w:t>
      </w:r>
      <w:r w:rsidRPr="00D845CE">
        <w:rPr>
          <w:vertAlign w:val="subscript"/>
          <w:lang w:val="en-US" w:eastAsia="zh-CN"/>
        </w:rPr>
        <w:t>t</w:t>
      </w:r>
      <w:r>
        <w:rPr>
          <w:lang w:val="en-US" w:eastAsia="zh-CN"/>
        </w:rPr>
        <w:t xml:space="preserve"> consecutive time-domain samples from N</w:t>
      </w:r>
      <w:r w:rsidRPr="00D845CE">
        <w:rPr>
          <w:vertAlign w:val="subscript"/>
          <w:lang w:val="en-US" w:eastAsia="zh-CN"/>
        </w:rPr>
        <w:t>port</w:t>
      </w:r>
      <w:r>
        <w:rPr>
          <w:lang w:val="en-US" w:eastAsia="zh-CN"/>
        </w:rPr>
        <w:t xml:space="preserve"> Tx/Rx antenna port pairs from N</w:t>
      </w:r>
      <w:r w:rsidRPr="00D845CE">
        <w:rPr>
          <w:vertAlign w:val="subscript"/>
          <w:lang w:val="en-US" w:eastAsia="zh-CN"/>
        </w:rPr>
        <w:t>TRP</w:t>
      </w:r>
      <w:r>
        <w:rPr>
          <w:lang w:val="en-US" w:eastAsia="zh-CN"/>
        </w:rPr>
        <w:t xml:space="preserve"> TRPs. Usually, the number of Rx ports should be transparent. Thus, the UE should not be required to disclose the number of Rx parts. In addition, the UEs may have different orientation, which could create different “best Rx direction” even for the UEs with the same location. Such information would potentially increase the prediction error. Therefore, the </w:t>
      </w:r>
      <w:r w:rsidR="00D5626D">
        <w:rPr>
          <w:lang w:val="en-US" w:eastAsia="zh-CN"/>
        </w:rPr>
        <w:t xml:space="preserve">further study on </w:t>
      </w:r>
      <w:r>
        <w:rPr>
          <w:lang w:val="en-US" w:eastAsia="zh-CN"/>
        </w:rPr>
        <w:t xml:space="preserve">CIR/PDP </w:t>
      </w:r>
      <w:r w:rsidR="00D5626D">
        <w:rPr>
          <w:lang w:val="en-US" w:eastAsia="zh-CN"/>
        </w:rPr>
        <w:t>as input should be based on the number of Tx ports, and the performance for the following Rx schemes can be further studied:</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1: </w:t>
      </w:r>
      <w:r>
        <w:rPr>
          <w:lang w:val="en-US" w:eastAsia="zh-CN"/>
        </w:rPr>
        <w:t>The CIR/PDP is measured from the Rx port with the strongest RSRP</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2: The </w:t>
      </w:r>
      <w:r>
        <w:rPr>
          <w:lang w:val="en-US" w:eastAsia="zh-CN"/>
        </w:rPr>
        <w:t>CIR/PDP is averaged over all the Rx ports</w:t>
      </w:r>
    </w:p>
    <w:p w:rsidR="009F57BE" w:rsidRDefault="000F5F3F" w:rsidP="000F5F3F">
      <w:pPr>
        <w:pStyle w:val="0Maintext"/>
        <w:spacing w:after="120" w:afterAutospacing="0" w:line="240" w:lineRule="auto"/>
        <w:ind w:firstLine="0"/>
        <w:rPr>
          <w:lang w:val="en-US" w:eastAsia="zh-CN"/>
        </w:rPr>
      </w:pPr>
      <w:r>
        <w:rPr>
          <w:lang w:val="en-US" w:eastAsia="zh-CN"/>
        </w:rPr>
        <w:t>In addition, another aspect is impact from different quantization schemes for the CIR/PDP. The CIR/PDP may be quantized based on several DFT bases or DCT bases. Usually, DCT based approach could provide a better performance with regard to the quantization error and report overhead. It is necessary to study the quantization impact on the CIR/PDP based on DFT bases and DCT bases.</w:t>
      </w:r>
    </w:p>
    <w:p w:rsidR="000F5F3F" w:rsidRDefault="000F5F3F" w:rsidP="000F5F3F">
      <w:pPr>
        <w:pStyle w:val="0Maintext"/>
        <w:spacing w:after="120" w:afterAutospacing="0" w:line="240" w:lineRule="auto"/>
        <w:ind w:firstLine="0"/>
        <w:rPr>
          <w:lang w:val="en-US" w:eastAsia="zh-CN"/>
        </w:rPr>
      </w:pPr>
      <w:r>
        <w:rPr>
          <w:lang w:val="en-US" w:eastAsia="zh-CN"/>
        </w:rPr>
        <w:t xml:space="preserve">In addition, with regard to possible channel estimation errors for the CIRs/PDPs, the L1-SINR for each CIR/PDP can be considered as part of the input. Then the CIR/PDP with a better L1-SINR may be prioritized in the AI/ML, </w:t>
      </w:r>
      <w:r>
        <w:rPr>
          <w:lang w:val="en-US" w:eastAsia="zh-CN"/>
        </w:rPr>
        <w:lastRenderedPageBreak/>
        <w:t>so that the CIR/PDP with more channel estimation error can be deprioritized, and the impact from channel estimation error can be reduced.</w:t>
      </w:r>
    </w:p>
    <w:p w:rsidR="000F5F3F" w:rsidRDefault="000F5F3F" w:rsidP="000F5F3F">
      <w:pPr>
        <w:pStyle w:val="0Maintext"/>
        <w:spacing w:after="120" w:afterAutospacing="0" w:line="240" w:lineRule="auto"/>
        <w:ind w:firstLine="0"/>
        <w:rPr>
          <w:lang w:val="en-US" w:eastAsia="zh-CN"/>
        </w:rPr>
      </w:pP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sidR="00D5626D">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6A5206" w:rsidRPr="00E551FD" w:rsidRDefault="00E551FD" w:rsidP="00557396">
      <w:pPr>
        <w:pStyle w:val="0Maintext"/>
        <w:spacing w:after="120" w:afterAutospacing="0" w:line="240" w:lineRule="auto"/>
        <w:ind w:firstLine="0"/>
        <w:rPr>
          <w:b/>
          <w:i/>
          <w:lang w:val="en-US" w:eastAsia="zh-CN"/>
        </w:rPr>
      </w:pPr>
      <w:r w:rsidRPr="00E551FD">
        <w:rPr>
          <w:b/>
          <w:i/>
          <w:lang w:val="en-US" w:eastAsia="zh-CN"/>
        </w:rPr>
        <w:t xml:space="preserve">Proposal </w:t>
      </w:r>
      <w:r w:rsidR="000F5F3F">
        <w:rPr>
          <w:b/>
          <w:i/>
          <w:lang w:val="en-US" w:eastAsia="zh-CN"/>
        </w:rPr>
        <w:t>3</w:t>
      </w:r>
      <w:r w:rsidRPr="00E551FD">
        <w:rPr>
          <w:b/>
          <w:i/>
          <w:lang w:val="en-US" w:eastAsia="zh-CN"/>
        </w:rPr>
        <w:t xml:space="preserve">: </w:t>
      </w:r>
      <w:r w:rsidR="000F5F3F">
        <w:rPr>
          <w:b/>
          <w:i/>
          <w:lang w:val="en-US" w:eastAsia="zh-CN"/>
        </w:rPr>
        <w:t>Study</w:t>
      </w:r>
      <w:r w:rsidRPr="00E551FD">
        <w:rPr>
          <w:b/>
          <w:i/>
          <w:lang w:val="en-US" w:eastAsia="zh-CN"/>
        </w:rPr>
        <w:t xml:space="preserve"> to use L1-SINR from each cell </w:t>
      </w:r>
      <w:r w:rsidR="00AD01A0">
        <w:rPr>
          <w:b/>
          <w:i/>
          <w:lang w:val="en-US" w:eastAsia="zh-CN"/>
        </w:rPr>
        <w:t xml:space="preserve">in addition to the CIR/PDP </w:t>
      </w:r>
      <w:r w:rsidRPr="00E551FD">
        <w:rPr>
          <w:b/>
          <w:i/>
          <w:lang w:val="en-US" w:eastAsia="zh-CN"/>
        </w:rPr>
        <w:t>as the input</w:t>
      </w:r>
      <w:r w:rsidR="000F5F3F">
        <w:rPr>
          <w:b/>
          <w:i/>
          <w:lang w:val="en-US" w:eastAsia="zh-CN"/>
        </w:rPr>
        <w:t xml:space="preserve"> to reflec</w:t>
      </w:r>
      <w:r w:rsidR="00AD01A0">
        <w:rPr>
          <w:b/>
          <w:i/>
          <w:lang w:val="en-US" w:eastAsia="zh-CN"/>
        </w:rPr>
        <w:t>t the potential channel estimation accuracy for the CIR/PDP</w:t>
      </w:r>
      <w:r w:rsidRPr="00E551FD">
        <w:rPr>
          <w:b/>
          <w:i/>
          <w:lang w:val="en-US" w:eastAsia="zh-CN"/>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w:t>
      </w:r>
      <w:r w:rsidR="00401DF2">
        <w:rPr>
          <w:lang w:val="en-US" w:eastAsia="zh-CN"/>
        </w:rPr>
        <w:t>positioning</w:t>
      </w:r>
      <w:r>
        <w:rPr>
          <w:lang w:val="en-US" w:eastAsia="zh-CN"/>
        </w:rPr>
        <w:t>. Based on the discussion, the following proposals have been achieved.</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D5626D" w:rsidRPr="00E551FD" w:rsidRDefault="00D5626D" w:rsidP="00D5626D">
      <w:pPr>
        <w:pStyle w:val="0Maintext"/>
        <w:spacing w:after="120" w:afterAutospacing="0" w:line="240" w:lineRule="auto"/>
        <w:ind w:firstLine="0"/>
        <w:rPr>
          <w:b/>
          <w:i/>
          <w:lang w:val="en-US" w:eastAsia="zh-CN"/>
        </w:rPr>
      </w:pPr>
      <w:r w:rsidRPr="00E551FD">
        <w:rPr>
          <w:b/>
          <w:i/>
          <w:lang w:val="en-US" w:eastAsia="zh-CN"/>
        </w:rPr>
        <w:t xml:space="preserve">Proposal </w:t>
      </w:r>
      <w:r>
        <w:rPr>
          <w:b/>
          <w:i/>
          <w:lang w:val="en-US" w:eastAsia="zh-CN"/>
        </w:rPr>
        <w:t>3</w:t>
      </w:r>
      <w:r w:rsidRPr="00E551FD">
        <w:rPr>
          <w:b/>
          <w:i/>
          <w:lang w:val="en-US" w:eastAsia="zh-CN"/>
        </w:rPr>
        <w:t xml:space="preserve">: </w:t>
      </w:r>
      <w:r>
        <w:rPr>
          <w:b/>
          <w:i/>
          <w:lang w:val="en-US" w:eastAsia="zh-CN"/>
        </w:rPr>
        <w:t>Study</w:t>
      </w:r>
      <w:r w:rsidRPr="00E551FD">
        <w:rPr>
          <w:b/>
          <w:i/>
          <w:lang w:val="en-US" w:eastAsia="zh-CN"/>
        </w:rPr>
        <w:t xml:space="preserve"> to use L1-SINR from each cell </w:t>
      </w:r>
      <w:r>
        <w:rPr>
          <w:b/>
          <w:i/>
          <w:lang w:val="en-US" w:eastAsia="zh-CN"/>
        </w:rPr>
        <w:t xml:space="preserve">in addition to the CIR/PDP </w:t>
      </w:r>
      <w:r w:rsidRPr="00E551FD">
        <w:rPr>
          <w:b/>
          <w:i/>
          <w:lang w:val="en-US" w:eastAsia="zh-CN"/>
        </w:rPr>
        <w:t>as the input</w:t>
      </w:r>
      <w:r>
        <w:rPr>
          <w:b/>
          <w:i/>
          <w:lang w:val="en-US" w:eastAsia="zh-CN"/>
        </w:rPr>
        <w:t xml:space="preserve"> to reflect the potential channel estimation accuracy for the CIR/PDP</w:t>
      </w:r>
      <w:r w:rsidRPr="00E551FD">
        <w:rPr>
          <w:b/>
          <w:i/>
          <w:lang w:val="en-US" w:eastAsia="zh-CN"/>
        </w:rPr>
        <w: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E20AC9"/>
    <w:multiLevelType w:val="hybridMultilevel"/>
    <w:tmpl w:val="B9F0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9"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1"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A55CFE"/>
    <w:multiLevelType w:val="hybridMultilevel"/>
    <w:tmpl w:val="9EE6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305539">
    <w:abstractNumId w:val="1"/>
  </w:num>
  <w:num w:numId="2" w16cid:durableId="1785153665">
    <w:abstractNumId w:val="29"/>
  </w:num>
  <w:num w:numId="3" w16cid:durableId="873426685">
    <w:abstractNumId w:val="3"/>
  </w:num>
  <w:num w:numId="4" w16cid:durableId="1981374753">
    <w:abstractNumId w:val="33"/>
  </w:num>
  <w:num w:numId="5" w16cid:durableId="705371082">
    <w:abstractNumId w:val="14"/>
  </w:num>
  <w:num w:numId="6" w16cid:durableId="1578442871">
    <w:abstractNumId w:val="8"/>
  </w:num>
  <w:num w:numId="7" w16cid:durableId="942037708">
    <w:abstractNumId w:val="47"/>
  </w:num>
  <w:num w:numId="8" w16cid:durableId="375275878">
    <w:abstractNumId w:val="25"/>
  </w:num>
  <w:num w:numId="9" w16cid:durableId="1100875833">
    <w:abstractNumId w:val="5"/>
  </w:num>
  <w:num w:numId="10" w16cid:durableId="196896450">
    <w:abstractNumId w:val="50"/>
  </w:num>
  <w:num w:numId="11" w16cid:durableId="685790851">
    <w:abstractNumId w:val="40"/>
  </w:num>
  <w:num w:numId="12" w16cid:durableId="2041777132">
    <w:abstractNumId w:val="37"/>
  </w:num>
  <w:num w:numId="13" w16cid:durableId="1399786249">
    <w:abstractNumId w:val="1"/>
  </w:num>
  <w:num w:numId="14" w16cid:durableId="668796666">
    <w:abstractNumId w:val="13"/>
  </w:num>
  <w:num w:numId="15" w16cid:durableId="2118527382">
    <w:abstractNumId w:val="4"/>
  </w:num>
  <w:num w:numId="16" w16cid:durableId="205872964">
    <w:abstractNumId w:val="9"/>
  </w:num>
  <w:num w:numId="17" w16cid:durableId="1558467224">
    <w:abstractNumId w:val="28"/>
  </w:num>
  <w:num w:numId="18" w16cid:durableId="1659650418">
    <w:abstractNumId w:val="34"/>
  </w:num>
  <w:num w:numId="19" w16cid:durableId="1702392278">
    <w:abstractNumId w:val="6"/>
  </w:num>
  <w:num w:numId="20" w16cid:durableId="66877969">
    <w:abstractNumId w:val="15"/>
  </w:num>
  <w:num w:numId="21" w16cid:durableId="259216124">
    <w:abstractNumId w:val="45"/>
  </w:num>
  <w:num w:numId="22" w16cid:durableId="1827429290">
    <w:abstractNumId w:val="10"/>
  </w:num>
  <w:num w:numId="23" w16cid:durableId="1135565970">
    <w:abstractNumId w:val="18"/>
  </w:num>
  <w:num w:numId="24" w16cid:durableId="1120345490">
    <w:abstractNumId w:val="54"/>
  </w:num>
  <w:num w:numId="25" w16cid:durableId="743642957">
    <w:abstractNumId w:val="42"/>
  </w:num>
  <w:num w:numId="26" w16cid:durableId="1059985582">
    <w:abstractNumId w:val="46"/>
  </w:num>
  <w:num w:numId="27" w16cid:durableId="1751467820">
    <w:abstractNumId w:val="38"/>
  </w:num>
  <w:num w:numId="28" w16cid:durableId="1176073440">
    <w:abstractNumId w:val="21"/>
  </w:num>
  <w:num w:numId="29" w16cid:durableId="265892972">
    <w:abstractNumId w:val="41"/>
  </w:num>
  <w:num w:numId="30" w16cid:durableId="362827485">
    <w:abstractNumId w:val="2"/>
  </w:num>
  <w:num w:numId="31" w16cid:durableId="555823314">
    <w:abstractNumId w:val="11"/>
  </w:num>
  <w:num w:numId="32" w16cid:durableId="1969893634">
    <w:abstractNumId w:val="19"/>
  </w:num>
  <w:num w:numId="33" w16cid:durableId="783696848">
    <w:abstractNumId w:val="23"/>
  </w:num>
  <w:num w:numId="34" w16cid:durableId="390883332">
    <w:abstractNumId w:val="16"/>
  </w:num>
  <w:num w:numId="35" w16cid:durableId="1015695352">
    <w:abstractNumId w:val="12"/>
  </w:num>
  <w:num w:numId="36" w16cid:durableId="809324779">
    <w:abstractNumId w:val="48"/>
  </w:num>
  <w:num w:numId="37" w16cid:durableId="30693464">
    <w:abstractNumId w:val="24"/>
  </w:num>
  <w:num w:numId="38" w16cid:durableId="27990491">
    <w:abstractNumId w:val="17"/>
  </w:num>
  <w:num w:numId="39" w16cid:durableId="743917672">
    <w:abstractNumId w:val="32"/>
  </w:num>
  <w:num w:numId="40" w16cid:durableId="67848891">
    <w:abstractNumId w:val="22"/>
  </w:num>
  <w:num w:numId="41" w16cid:durableId="841630603">
    <w:abstractNumId w:val="31"/>
  </w:num>
  <w:num w:numId="42" w16cid:durableId="2031298965">
    <w:abstractNumId w:val="36"/>
  </w:num>
  <w:num w:numId="43" w16cid:durableId="2107726453">
    <w:abstractNumId w:val="30"/>
  </w:num>
  <w:num w:numId="44" w16cid:durableId="1235974792">
    <w:abstractNumId w:val="52"/>
  </w:num>
  <w:num w:numId="45" w16cid:durableId="150800348">
    <w:abstractNumId w:val="7"/>
  </w:num>
  <w:num w:numId="46" w16cid:durableId="667053901">
    <w:abstractNumId w:val="44"/>
  </w:num>
  <w:num w:numId="47" w16cid:durableId="973019289">
    <w:abstractNumId w:val="53"/>
  </w:num>
  <w:num w:numId="48" w16cid:durableId="1710106192">
    <w:abstractNumId w:val="43"/>
  </w:num>
  <w:num w:numId="49" w16cid:durableId="1605766903">
    <w:abstractNumId w:val="27"/>
  </w:num>
  <w:num w:numId="50" w16cid:durableId="1095173110">
    <w:abstractNumId w:val="51"/>
  </w:num>
  <w:num w:numId="51" w16cid:durableId="885409337">
    <w:abstractNumId w:val="49"/>
  </w:num>
  <w:num w:numId="52" w16cid:durableId="1522742849">
    <w:abstractNumId w:val="39"/>
  </w:num>
  <w:num w:numId="53" w16cid:durableId="211230645">
    <w:abstractNumId w:val="0"/>
  </w:num>
  <w:num w:numId="54" w16cid:durableId="285045787">
    <w:abstractNumId w:val="35"/>
  </w:num>
  <w:num w:numId="55" w16cid:durableId="298074523">
    <w:abstractNumId w:val="26"/>
  </w:num>
  <w:num w:numId="56" w16cid:durableId="3571242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30EE3"/>
    <w:rsid w:val="000A60ED"/>
    <w:rsid w:val="000F2442"/>
    <w:rsid w:val="000F5F3F"/>
    <w:rsid w:val="00122C70"/>
    <w:rsid w:val="001547A3"/>
    <w:rsid w:val="001638DC"/>
    <w:rsid w:val="001D3923"/>
    <w:rsid w:val="00276EBB"/>
    <w:rsid w:val="0030732C"/>
    <w:rsid w:val="00346E6B"/>
    <w:rsid w:val="003738F2"/>
    <w:rsid w:val="003976BE"/>
    <w:rsid w:val="003D4627"/>
    <w:rsid w:val="00401DF2"/>
    <w:rsid w:val="00431006"/>
    <w:rsid w:val="00431BE9"/>
    <w:rsid w:val="00476FE4"/>
    <w:rsid w:val="004B588D"/>
    <w:rsid w:val="004C1B6E"/>
    <w:rsid w:val="0050593E"/>
    <w:rsid w:val="00557396"/>
    <w:rsid w:val="005635BB"/>
    <w:rsid w:val="005E40E6"/>
    <w:rsid w:val="006A5206"/>
    <w:rsid w:val="006E53C6"/>
    <w:rsid w:val="00763A34"/>
    <w:rsid w:val="00781DD5"/>
    <w:rsid w:val="007A63FA"/>
    <w:rsid w:val="00884F71"/>
    <w:rsid w:val="008C065D"/>
    <w:rsid w:val="008E1E15"/>
    <w:rsid w:val="00905082"/>
    <w:rsid w:val="00914B21"/>
    <w:rsid w:val="009366FD"/>
    <w:rsid w:val="00980A03"/>
    <w:rsid w:val="009D0133"/>
    <w:rsid w:val="009E3DB7"/>
    <w:rsid w:val="009E5063"/>
    <w:rsid w:val="009F57BE"/>
    <w:rsid w:val="009F6087"/>
    <w:rsid w:val="00A23308"/>
    <w:rsid w:val="00A316C9"/>
    <w:rsid w:val="00A42238"/>
    <w:rsid w:val="00A448D2"/>
    <w:rsid w:val="00A65EE0"/>
    <w:rsid w:val="00A90297"/>
    <w:rsid w:val="00AB1114"/>
    <w:rsid w:val="00AD01A0"/>
    <w:rsid w:val="00AD4009"/>
    <w:rsid w:val="00AE467A"/>
    <w:rsid w:val="00B01671"/>
    <w:rsid w:val="00B02C9F"/>
    <w:rsid w:val="00B8306C"/>
    <w:rsid w:val="00BB4635"/>
    <w:rsid w:val="00BF6517"/>
    <w:rsid w:val="00C031C3"/>
    <w:rsid w:val="00C10D36"/>
    <w:rsid w:val="00C75714"/>
    <w:rsid w:val="00D0763A"/>
    <w:rsid w:val="00D5626D"/>
    <w:rsid w:val="00D616A3"/>
    <w:rsid w:val="00D845CE"/>
    <w:rsid w:val="00DA2FD9"/>
    <w:rsid w:val="00DE426C"/>
    <w:rsid w:val="00DE5690"/>
    <w:rsid w:val="00DE5A5E"/>
    <w:rsid w:val="00DE7CAB"/>
    <w:rsid w:val="00E551FD"/>
    <w:rsid w:val="00E8201B"/>
    <w:rsid w:val="00E83DAE"/>
    <w:rsid w:val="00F05325"/>
    <w:rsid w:val="00FA0EF5"/>
    <w:rsid w:val="00FA77A4"/>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F00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2023-05-10T02:26:00Z</dcterms:created>
  <dcterms:modified xsi:type="dcterms:W3CDTF">2023-05-11T01:13:00Z</dcterms:modified>
</cp:coreProperties>
</file>